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4383" w14:textId="2C03179D" w:rsidR="00340184" w:rsidRPr="00C657DA" w:rsidRDefault="00D25670" w:rsidP="00340184">
      <w:pPr>
        <w:pStyle w:val="Title"/>
        <w:jc w:val="center"/>
        <w:rPr>
          <w:rFonts w:ascii="Arial" w:hAnsi="Arial" w:cs="Arial"/>
          <w:sz w:val="40"/>
        </w:rPr>
      </w:pPr>
      <w:r>
        <w:rPr>
          <w:rFonts w:ascii="Arial" w:hAnsi="Arial" w:cs="Arial"/>
          <w:sz w:val="40"/>
        </w:rPr>
        <w:t>Linkage</w:t>
      </w:r>
      <w:r w:rsidR="00340184">
        <w:rPr>
          <w:rFonts w:ascii="Arial" w:hAnsi="Arial" w:cs="Arial"/>
          <w:sz w:val="40"/>
        </w:rPr>
        <w:t xml:space="preserve"> Pro</w:t>
      </w:r>
      <w:r>
        <w:rPr>
          <w:rFonts w:ascii="Arial" w:hAnsi="Arial" w:cs="Arial"/>
          <w:sz w:val="40"/>
        </w:rPr>
        <w:t>jects</w:t>
      </w:r>
      <w:r w:rsidR="00340184" w:rsidRPr="00CC3B7A">
        <w:rPr>
          <w:rFonts w:ascii="Arial" w:hAnsi="Arial" w:cs="Arial"/>
          <w:sz w:val="40"/>
        </w:rPr>
        <w:t xml:space="preserve"> </w:t>
      </w:r>
      <w:r w:rsidR="00340184" w:rsidRPr="00C657DA">
        <w:rPr>
          <w:rFonts w:ascii="Arial" w:hAnsi="Arial" w:cs="Arial"/>
          <w:sz w:val="40"/>
        </w:rPr>
        <w:t>Grant Guidelines Changes</w:t>
      </w:r>
    </w:p>
    <w:p w14:paraId="7400D25A" w14:textId="77777777" w:rsidR="00340184" w:rsidRPr="007425E0" w:rsidRDefault="00340184" w:rsidP="00340184">
      <w:pPr>
        <w:rPr>
          <w:rFonts w:ascii="Arial" w:hAnsi="Arial" w:cs="Arial"/>
        </w:rPr>
      </w:pPr>
    </w:p>
    <w:p w14:paraId="5E92B7C3" w14:textId="77777777" w:rsidR="00340184" w:rsidRPr="007E537C" w:rsidRDefault="00340184" w:rsidP="00340184">
      <w:pPr>
        <w:pStyle w:val="Heading2"/>
        <w:rPr>
          <w:rFonts w:asciiTheme="minorHAnsi" w:hAnsiTheme="minorHAnsi" w:cstheme="minorHAnsi"/>
          <w:sz w:val="24"/>
          <w:szCs w:val="24"/>
        </w:rPr>
      </w:pPr>
      <w:r w:rsidRPr="007E537C">
        <w:rPr>
          <w:rFonts w:asciiTheme="minorHAnsi" w:hAnsiTheme="minorHAnsi" w:cstheme="minorHAnsi"/>
          <w:sz w:val="24"/>
          <w:szCs w:val="24"/>
        </w:rPr>
        <w:t>Consultation</w:t>
      </w:r>
    </w:p>
    <w:p w14:paraId="3DA0916D" w14:textId="0B49B9C7" w:rsidR="00340184" w:rsidRPr="007E537C" w:rsidRDefault="00340184" w:rsidP="00340184">
      <w:pPr>
        <w:spacing w:after="120"/>
        <w:rPr>
          <w:rFonts w:cstheme="minorHAnsi"/>
        </w:rPr>
      </w:pPr>
      <w:r w:rsidRPr="007E537C">
        <w:rPr>
          <w:rFonts w:cstheme="minorHAnsi"/>
        </w:rPr>
        <w:t>Feedback from stakeholders was considered in the drafting of these grant guidelines. Key stakeholders have been engaged, particularly members of the Australasian Research Management Society (ARMS).</w:t>
      </w:r>
    </w:p>
    <w:p w14:paraId="74B1093E" w14:textId="5F1EB0BC" w:rsidR="00FD7EC7" w:rsidRPr="0097367F" w:rsidRDefault="00FD7EC7" w:rsidP="0097367F">
      <w:pPr>
        <w:pStyle w:val="Heading2"/>
        <w:spacing w:after="120"/>
        <w:rPr>
          <w:rFonts w:asciiTheme="minorHAnsi" w:hAnsiTheme="minorHAnsi" w:cstheme="minorHAnsi"/>
          <w:sz w:val="24"/>
          <w:szCs w:val="24"/>
        </w:rPr>
      </w:pPr>
      <w:bookmarkStart w:id="0" w:name="_Toc90903971"/>
      <w:r w:rsidRPr="00FD7EC7">
        <w:rPr>
          <w:rFonts w:asciiTheme="minorHAnsi" w:hAnsiTheme="minorHAnsi" w:cstheme="minorHAnsi"/>
          <w:sz w:val="24"/>
          <w:szCs w:val="24"/>
        </w:rPr>
        <w:t>PROCESSES</w:t>
      </w:r>
      <w:bookmarkEnd w:id="0"/>
    </w:p>
    <w:p w14:paraId="39272400" w14:textId="6EDDE549" w:rsidR="000E420A" w:rsidRPr="00EB6A75" w:rsidRDefault="000E420A" w:rsidP="00FD7EC7">
      <w:pPr>
        <w:pStyle w:val="Heading3"/>
      </w:pPr>
      <w:r w:rsidRPr="0097367F">
        <w:t xml:space="preserve">Updates to </w:t>
      </w:r>
      <w:r w:rsidR="00EB6A75" w:rsidRPr="0097367F">
        <w:t>Flow Ch</w:t>
      </w:r>
      <w:r w:rsidR="00EB6A75">
        <w:t>art</w:t>
      </w:r>
    </w:p>
    <w:p w14:paraId="41E927AE" w14:textId="125A9C34" w:rsidR="00CE44AF" w:rsidRPr="00EA2BAA" w:rsidRDefault="00CE44AF" w:rsidP="0097367F">
      <w:pPr>
        <w:spacing w:before="120" w:after="0"/>
        <w:ind w:left="567"/>
        <w:rPr>
          <w:rFonts w:cstheme="minorHAnsi"/>
        </w:rPr>
      </w:pPr>
      <w:r w:rsidRPr="0097367F">
        <w:rPr>
          <w:rFonts w:cstheme="minorHAnsi"/>
        </w:rPr>
        <w:t>Updated words under “We make grant recommendations”</w:t>
      </w:r>
      <w:r w:rsidRPr="00EA2BAA">
        <w:rPr>
          <w:rFonts w:cstheme="minorHAnsi"/>
        </w:rPr>
        <w:t xml:space="preserve"> to </w:t>
      </w:r>
      <w:proofErr w:type="gramStart"/>
      <w:r w:rsidRPr="00EA2BAA">
        <w:rPr>
          <w:rFonts w:cstheme="minorHAnsi"/>
        </w:rPr>
        <w:t>more clearly capture relevant considerations</w:t>
      </w:r>
      <w:proofErr w:type="gramEnd"/>
      <w:r w:rsidRPr="00EA2BAA">
        <w:rPr>
          <w:rFonts w:cstheme="minorHAnsi"/>
        </w:rPr>
        <w:t>. The sentence now reads: “The CEO will make grant recommendations to the Minister that are peer assessed for research excellence, satisfy the National Interest Test and which are eligible for funding.”</w:t>
      </w:r>
    </w:p>
    <w:p w14:paraId="53F7D76A" w14:textId="7AD7BFE1" w:rsidR="00340184" w:rsidRPr="007E537C" w:rsidRDefault="00340184" w:rsidP="00340184">
      <w:pPr>
        <w:pStyle w:val="Heading2"/>
        <w:spacing w:after="120"/>
        <w:rPr>
          <w:rFonts w:asciiTheme="minorHAnsi" w:hAnsiTheme="minorHAnsi" w:cstheme="minorHAnsi"/>
          <w:sz w:val="24"/>
          <w:szCs w:val="24"/>
        </w:rPr>
      </w:pPr>
      <w:r w:rsidRPr="007E537C">
        <w:rPr>
          <w:rFonts w:asciiTheme="minorHAnsi" w:hAnsiTheme="minorHAnsi" w:cstheme="minorHAnsi"/>
          <w:sz w:val="24"/>
          <w:szCs w:val="24"/>
        </w:rPr>
        <w:t>ASSESSMENT</w:t>
      </w:r>
    </w:p>
    <w:p w14:paraId="3283DB07" w14:textId="519B0F64" w:rsidR="00B238F9" w:rsidRDefault="00B238F9" w:rsidP="007B4D76">
      <w:pPr>
        <w:pStyle w:val="Heading3"/>
      </w:pPr>
      <w:r>
        <w:t>Alignment with ‘Australian Government Priority Areas’</w:t>
      </w:r>
    </w:p>
    <w:p w14:paraId="0CD4221A" w14:textId="0E724A53" w:rsidR="00F14675" w:rsidRDefault="00FE4EE8" w:rsidP="0081095A">
      <w:pPr>
        <w:pStyle w:val="ListParagraph"/>
        <w:numPr>
          <w:ilvl w:val="0"/>
          <w:numId w:val="30"/>
        </w:numPr>
        <w:spacing w:before="120" w:after="120"/>
        <w:rPr>
          <w:rFonts w:cstheme="minorHAnsi"/>
        </w:rPr>
      </w:pPr>
      <w:r w:rsidRPr="00FE4EE8">
        <w:rPr>
          <w:rFonts w:cstheme="minorHAnsi"/>
        </w:rPr>
        <w:t>The</w:t>
      </w:r>
      <w:r w:rsidR="000921B9">
        <w:rPr>
          <w:rFonts w:cstheme="minorHAnsi"/>
        </w:rPr>
        <w:t xml:space="preserve"> grant guidelines have been updated to </w:t>
      </w:r>
      <w:r w:rsidR="0073273C">
        <w:rPr>
          <w:rFonts w:cstheme="minorHAnsi"/>
        </w:rPr>
        <w:t xml:space="preserve">reflect the </w:t>
      </w:r>
      <w:r w:rsidR="000921B9">
        <w:rPr>
          <w:rFonts w:cstheme="minorHAnsi"/>
        </w:rPr>
        <w:t>align</w:t>
      </w:r>
      <w:r w:rsidR="0073273C">
        <w:rPr>
          <w:rFonts w:cstheme="minorHAnsi"/>
        </w:rPr>
        <w:t>ment of</w:t>
      </w:r>
      <w:r w:rsidR="000921B9">
        <w:rPr>
          <w:rFonts w:cstheme="minorHAnsi"/>
        </w:rPr>
        <w:t xml:space="preserve"> the Linkage Projects scheme with ‘Australian Government </w:t>
      </w:r>
      <w:r w:rsidR="00A1089A">
        <w:rPr>
          <w:rFonts w:cstheme="minorHAnsi"/>
        </w:rPr>
        <w:t>Priority Areas’</w:t>
      </w:r>
      <w:r w:rsidR="00941E8B">
        <w:rPr>
          <w:rFonts w:cstheme="minorHAnsi"/>
        </w:rPr>
        <w:t>.</w:t>
      </w:r>
    </w:p>
    <w:p w14:paraId="20DE0322" w14:textId="72F21140" w:rsidR="002A2975" w:rsidRPr="002A2975" w:rsidRDefault="002A2975" w:rsidP="0097367F">
      <w:pPr>
        <w:pStyle w:val="GrantGuidelinesClauseGeneralSection"/>
      </w:pPr>
      <w:proofErr w:type="gramStart"/>
      <w:r w:rsidRPr="00941F0B">
        <w:rPr>
          <w:u w:val="single"/>
        </w:rPr>
        <w:t>Guidelines</w:t>
      </w:r>
      <w:proofErr w:type="gramEnd"/>
      <w:r w:rsidRPr="00941F0B">
        <w:rPr>
          <w:u w:val="single"/>
        </w:rPr>
        <w:t xml:space="preserve"> reference</w:t>
      </w:r>
      <w:r w:rsidRPr="0097367F">
        <w:t>:</w:t>
      </w:r>
      <w:r w:rsidRPr="002A2975">
        <w:t xml:space="preserve"> throughout as relevant.</w:t>
      </w:r>
    </w:p>
    <w:p w14:paraId="104C5CED" w14:textId="0AC67B36" w:rsidR="00F00BB1" w:rsidRPr="0097367F" w:rsidRDefault="00123D98" w:rsidP="0097367F">
      <w:pPr>
        <w:pStyle w:val="ListParagraph"/>
        <w:numPr>
          <w:ilvl w:val="0"/>
          <w:numId w:val="30"/>
        </w:numPr>
        <w:spacing w:before="120" w:after="120"/>
        <w:rPr>
          <w:rFonts w:cstheme="minorHAnsi"/>
        </w:rPr>
      </w:pPr>
      <w:r w:rsidRPr="0097367F">
        <w:rPr>
          <w:rFonts w:cstheme="minorHAnsi"/>
        </w:rPr>
        <w:t xml:space="preserve">Reference added under </w:t>
      </w:r>
      <w:r w:rsidR="000711DF" w:rsidRPr="0097367F">
        <w:rPr>
          <w:rFonts w:cstheme="minorHAnsi"/>
        </w:rPr>
        <w:t xml:space="preserve">Objectives to the Minister’s request </w:t>
      </w:r>
      <w:r w:rsidR="00412263">
        <w:rPr>
          <w:rFonts w:cstheme="minorHAnsi"/>
        </w:rPr>
        <w:t xml:space="preserve">(in the </w:t>
      </w:r>
      <w:hyperlink r:id="rId7" w:tooltip="Link to the Letter of expectation on ARC website" w:history="1">
        <w:r w:rsidR="00412263" w:rsidRPr="008228E6">
          <w:rPr>
            <w:rStyle w:val="Hyperlink"/>
            <w:rFonts w:asciiTheme="minorHAnsi" w:hAnsiTheme="minorHAnsi" w:cstheme="minorHAnsi"/>
          </w:rPr>
          <w:t>letter of expectation</w:t>
        </w:r>
      </w:hyperlink>
      <w:r w:rsidR="000D6613">
        <w:rPr>
          <w:rStyle w:val="Hyperlink"/>
          <w:rFonts w:asciiTheme="minorHAnsi" w:hAnsiTheme="minorHAnsi" w:cstheme="minorHAnsi"/>
        </w:rPr>
        <w:t>s</w:t>
      </w:r>
      <w:r w:rsidR="00412263">
        <w:rPr>
          <w:rFonts w:cstheme="minorHAnsi"/>
        </w:rPr>
        <w:t xml:space="preserve"> dated 6 December)</w:t>
      </w:r>
      <w:r w:rsidR="000711DF" w:rsidRPr="0097367F">
        <w:rPr>
          <w:rFonts w:cstheme="minorHAnsi"/>
        </w:rPr>
        <w:t xml:space="preserve"> that “n</w:t>
      </w:r>
      <w:r w:rsidRPr="0097367F">
        <w:rPr>
          <w:rFonts w:cstheme="minorHAnsi"/>
        </w:rPr>
        <w:t>o less than 70% of the recommended Linkage Program grants will be aligned with the National Manufacturing Priorities.</w:t>
      </w:r>
      <w:r w:rsidR="000711DF" w:rsidRPr="0097367F">
        <w:rPr>
          <w:rFonts w:cstheme="minorHAnsi"/>
        </w:rPr>
        <w:t>”</w:t>
      </w:r>
    </w:p>
    <w:p w14:paraId="540FE327" w14:textId="3A6110B0" w:rsidR="000711DF" w:rsidRPr="00300C79" w:rsidRDefault="000711DF" w:rsidP="0097367F">
      <w:pPr>
        <w:pStyle w:val="GrantGuidelinesClauseGeneralSection"/>
      </w:pPr>
      <w:proofErr w:type="gramStart"/>
      <w:r w:rsidRPr="00EA2BAA">
        <w:rPr>
          <w:u w:val="single"/>
        </w:rPr>
        <w:t>Guidelines</w:t>
      </w:r>
      <w:proofErr w:type="gramEnd"/>
      <w:r w:rsidRPr="00EA2BAA">
        <w:rPr>
          <w:u w:val="single"/>
        </w:rPr>
        <w:t xml:space="preserve"> reference</w:t>
      </w:r>
      <w:r w:rsidRPr="002A2975">
        <w:t>:</w:t>
      </w:r>
      <w:r w:rsidRPr="008436B6">
        <w:t xml:space="preserve"> </w:t>
      </w:r>
      <w:r w:rsidR="005218AD">
        <w:t>2.</w:t>
      </w:r>
      <w:r w:rsidR="000D6613">
        <w:t>4</w:t>
      </w:r>
    </w:p>
    <w:p w14:paraId="68F0F8B5" w14:textId="7BA8836A" w:rsidR="000D6613" w:rsidRPr="00E27A35" w:rsidRDefault="000D6613" w:rsidP="000D6613">
      <w:pPr>
        <w:pStyle w:val="ListParagraph"/>
        <w:numPr>
          <w:ilvl w:val="0"/>
          <w:numId w:val="30"/>
        </w:numPr>
        <w:spacing w:before="120" w:after="120"/>
      </w:pPr>
      <w:r>
        <w:rPr>
          <w:rFonts w:cstheme="minorHAnsi"/>
        </w:rPr>
        <w:t>D</w:t>
      </w:r>
      <w:r w:rsidR="00FE4EE8" w:rsidRPr="00FE4EE8">
        <w:rPr>
          <w:rFonts w:cstheme="minorHAnsi"/>
        </w:rPr>
        <w:t>efinition</w:t>
      </w:r>
      <w:r>
        <w:rPr>
          <w:rFonts w:cstheme="minorHAnsi"/>
        </w:rPr>
        <w:t>s</w:t>
      </w:r>
      <w:r w:rsidR="00FE4EE8" w:rsidRPr="00FE4EE8">
        <w:rPr>
          <w:rFonts w:cstheme="minorHAnsi"/>
        </w:rPr>
        <w:t xml:space="preserve"> for ‘Australian Government priority areas’ </w:t>
      </w:r>
      <w:r>
        <w:rPr>
          <w:rFonts w:cstheme="minorHAnsi"/>
        </w:rPr>
        <w:t>and ‘</w:t>
      </w:r>
      <w:r>
        <w:t>National Manufacturing Priorities’</w:t>
      </w:r>
    </w:p>
    <w:p w14:paraId="6352F97F" w14:textId="70932AC1" w:rsidR="00FE4EE8" w:rsidRPr="0097367F" w:rsidRDefault="00FE4EE8" w:rsidP="0097367F">
      <w:pPr>
        <w:pStyle w:val="ListParagraph"/>
        <w:numPr>
          <w:ilvl w:val="0"/>
          <w:numId w:val="30"/>
        </w:numPr>
        <w:spacing w:before="120" w:after="120"/>
        <w:rPr>
          <w:rFonts w:cstheme="minorHAnsi"/>
        </w:rPr>
      </w:pPr>
      <w:r w:rsidRPr="00FE4EE8">
        <w:rPr>
          <w:rFonts w:cstheme="minorHAnsi"/>
        </w:rPr>
        <w:t>ha</w:t>
      </w:r>
      <w:r w:rsidR="000D6613">
        <w:rPr>
          <w:rFonts w:cstheme="minorHAnsi"/>
        </w:rPr>
        <w:t>ve</w:t>
      </w:r>
      <w:r w:rsidRPr="00FE4EE8">
        <w:rPr>
          <w:rFonts w:cstheme="minorHAnsi"/>
        </w:rPr>
        <w:t xml:space="preserve"> also been added to the Definitions section.</w:t>
      </w:r>
    </w:p>
    <w:p w14:paraId="3331066E" w14:textId="0C5C9963" w:rsidR="00F14675" w:rsidRPr="000711DF" w:rsidRDefault="00FE4EE8" w:rsidP="0097367F">
      <w:pPr>
        <w:ind w:left="360" w:firstLine="720"/>
      </w:pPr>
      <w:proofErr w:type="gramStart"/>
      <w:r w:rsidRPr="00300C79">
        <w:rPr>
          <w:u w:val="single"/>
        </w:rPr>
        <w:t>Guidelines</w:t>
      </w:r>
      <w:proofErr w:type="gramEnd"/>
      <w:r w:rsidRPr="00300C79">
        <w:rPr>
          <w:u w:val="single"/>
        </w:rPr>
        <w:t xml:space="preserve"> reference</w:t>
      </w:r>
      <w:r w:rsidRPr="00011CE8">
        <w:t xml:space="preserve">: </w:t>
      </w:r>
      <w:r>
        <w:t>1</w:t>
      </w:r>
      <w:r w:rsidR="00DB729D">
        <w:t>5</w:t>
      </w:r>
      <w:r>
        <w:t>.</w:t>
      </w:r>
      <w:r w:rsidR="00DB729D">
        <w:t xml:space="preserve">2 </w:t>
      </w:r>
    </w:p>
    <w:p w14:paraId="660FEF06" w14:textId="2467BD6C" w:rsidR="00340184" w:rsidRPr="007E537C" w:rsidRDefault="00340184" w:rsidP="007B4D76">
      <w:pPr>
        <w:pStyle w:val="Heading3"/>
      </w:pPr>
      <w:r w:rsidRPr="007E537C">
        <w:t>Due Diligence Updates</w:t>
      </w:r>
    </w:p>
    <w:p w14:paraId="0C519A24" w14:textId="52B91187" w:rsidR="00340184" w:rsidRPr="007E537C" w:rsidRDefault="00340184" w:rsidP="00340184">
      <w:pPr>
        <w:spacing w:before="120" w:after="0"/>
        <w:ind w:left="567"/>
        <w:rPr>
          <w:rFonts w:cstheme="minorHAnsi"/>
        </w:rPr>
      </w:pPr>
      <w:r w:rsidRPr="007E537C">
        <w:rPr>
          <w:rFonts w:cstheme="minorHAnsi"/>
        </w:rPr>
        <w:t xml:space="preserve">There are several updates in the grant guidelines to outline the due diligence activities undertaken </w:t>
      </w:r>
      <w:r w:rsidR="00721F83">
        <w:rPr>
          <w:rFonts w:cstheme="minorHAnsi"/>
        </w:rPr>
        <w:t xml:space="preserve">by the ARC </w:t>
      </w:r>
      <w:r w:rsidRPr="007E537C">
        <w:rPr>
          <w:rFonts w:cstheme="minorHAnsi"/>
        </w:rPr>
        <w:t>through the assessment process, and the responsibilities of the applicant in ensuring appropriate due diligence ha</w:t>
      </w:r>
      <w:r>
        <w:rPr>
          <w:rFonts w:cstheme="minorHAnsi"/>
        </w:rPr>
        <w:t>s</w:t>
      </w:r>
      <w:r w:rsidRPr="007E537C">
        <w:rPr>
          <w:rFonts w:cstheme="minorHAnsi"/>
        </w:rPr>
        <w:t xml:space="preserve"> been </w:t>
      </w:r>
      <w:r>
        <w:rPr>
          <w:rFonts w:cstheme="minorHAnsi"/>
        </w:rPr>
        <w:t>under</w:t>
      </w:r>
      <w:r w:rsidRPr="007E537C">
        <w:rPr>
          <w:rFonts w:cstheme="minorHAnsi"/>
        </w:rPr>
        <w:t xml:space="preserve">taken ahead of </w:t>
      </w:r>
      <w:proofErr w:type="gramStart"/>
      <w:r w:rsidRPr="007E537C">
        <w:rPr>
          <w:rFonts w:cstheme="minorHAnsi"/>
        </w:rPr>
        <w:t>submitting an application</w:t>
      </w:r>
      <w:proofErr w:type="gramEnd"/>
      <w:r w:rsidRPr="007E537C">
        <w:rPr>
          <w:rFonts w:cstheme="minorHAnsi"/>
        </w:rPr>
        <w:t>. Changes include:</w:t>
      </w:r>
    </w:p>
    <w:p w14:paraId="31930C34" w14:textId="6101146D" w:rsidR="00340184" w:rsidRPr="005E1736" w:rsidRDefault="00340184" w:rsidP="00155F3A">
      <w:pPr>
        <w:pStyle w:val="ListParagraph"/>
        <w:numPr>
          <w:ilvl w:val="0"/>
          <w:numId w:val="30"/>
        </w:numPr>
        <w:spacing w:before="120" w:after="120"/>
        <w:rPr>
          <w:rFonts w:cstheme="minorHAnsi"/>
          <w:i/>
          <w:iCs/>
        </w:rPr>
      </w:pPr>
      <w:r>
        <w:rPr>
          <w:rFonts w:cstheme="minorHAnsi"/>
          <w:b/>
          <w:bCs/>
        </w:rPr>
        <w:t>P</w:t>
      </w:r>
      <w:r w:rsidRPr="005E1736">
        <w:rPr>
          <w:rFonts w:cstheme="minorHAnsi"/>
          <w:b/>
          <w:bCs/>
        </w:rPr>
        <w:t>rocesses</w:t>
      </w:r>
      <w:r w:rsidRPr="005E1736">
        <w:rPr>
          <w:rFonts w:cstheme="minorHAnsi"/>
        </w:rPr>
        <w:t xml:space="preserve"> – Inclusion of any advice </w:t>
      </w:r>
      <w:r w:rsidRPr="00CF57A1">
        <w:rPr>
          <w:rFonts w:cstheme="minorHAnsi"/>
        </w:rPr>
        <w:t>on national security risks in ‘We make grant</w:t>
      </w:r>
      <w:r w:rsidR="00155F3A">
        <w:rPr>
          <w:rFonts w:cstheme="minorHAnsi"/>
        </w:rPr>
        <w:t xml:space="preserve"> </w:t>
      </w:r>
      <w:r w:rsidRPr="00CF57A1">
        <w:rPr>
          <w:rFonts w:cstheme="minorHAnsi"/>
        </w:rPr>
        <w:t>recommendations’ and ‘Grant decisions are made’</w:t>
      </w:r>
      <w:r w:rsidR="00AE5F06">
        <w:rPr>
          <w:rFonts w:cstheme="minorHAnsi"/>
        </w:rPr>
        <w:t>.</w:t>
      </w:r>
    </w:p>
    <w:p w14:paraId="7147F869" w14:textId="6341BC13" w:rsidR="00340184" w:rsidRPr="005E1736" w:rsidRDefault="00340184" w:rsidP="00155F3A">
      <w:pPr>
        <w:pStyle w:val="ListParagraph"/>
        <w:numPr>
          <w:ilvl w:val="0"/>
          <w:numId w:val="30"/>
        </w:numPr>
        <w:spacing w:before="120" w:after="120"/>
        <w:rPr>
          <w:rFonts w:cstheme="minorHAnsi"/>
          <w:i/>
          <w:iCs/>
        </w:rPr>
      </w:pPr>
      <w:r w:rsidRPr="005E1736">
        <w:rPr>
          <w:rFonts w:cstheme="minorHAnsi"/>
          <w:b/>
        </w:rPr>
        <w:t>7.2</w:t>
      </w:r>
      <w:r w:rsidR="00C17E09">
        <w:rPr>
          <w:rFonts w:cstheme="minorHAnsi"/>
          <w:b/>
        </w:rPr>
        <w:t>e</w:t>
      </w:r>
      <w:r w:rsidRPr="005E1736">
        <w:rPr>
          <w:rFonts w:cstheme="minorHAnsi"/>
          <w:b/>
        </w:rPr>
        <w:t xml:space="preserve"> How to apply</w:t>
      </w:r>
      <w:r w:rsidRPr="005E1736">
        <w:rPr>
          <w:rFonts w:cstheme="minorHAnsi"/>
        </w:rPr>
        <w:t xml:space="preserve"> clause amended to reference having regard to the </w:t>
      </w:r>
      <w:r w:rsidRPr="005E1736">
        <w:rPr>
          <w:rFonts w:cstheme="minorHAnsi"/>
          <w:i/>
          <w:iCs/>
        </w:rPr>
        <w:t>Guidelines to Counter Foreign Interference in the Australian University Sector.</w:t>
      </w:r>
    </w:p>
    <w:p w14:paraId="7111C5F5" w14:textId="042F3175" w:rsidR="00340184" w:rsidRPr="005E1736" w:rsidRDefault="00340184" w:rsidP="00155F3A">
      <w:pPr>
        <w:pStyle w:val="ListParagraph"/>
        <w:numPr>
          <w:ilvl w:val="0"/>
          <w:numId w:val="30"/>
        </w:numPr>
        <w:spacing w:before="120" w:after="120"/>
        <w:rPr>
          <w:rFonts w:cstheme="minorHAnsi"/>
        </w:rPr>
      </w:pPr>
      <w:r w:rsidRPr="005E1736">
        <w:rPr>
          <w:rFonts w:cstheme="minorHAnsi"/>
          <w:b/>
          <w:bCs/>
        </w:rPr>
        <w:t>7.</w:t>
      </w:r>
      <w:r w:rsidR="00C17E09">
        <w:rPr>
          <w:rFonts w:cstheme="minorHAnsi"/>
          <w:b/>
          <w:bCs/>
        </w:rPr>
        <w:t>9</w:t>
      </w:r>
      <w:r w:rsidRPr="005E1736">
        <w:rPr>
          <w:rFonts w:cstheme="minorHAnsi"/>
          <w:b/>
          <w:bCs/>
        </w:rPr>
        <w:t xml:space="preserve"> How to apply</w:t>
      </w:r>
      <w:r w:rsidRPr="005E1736">
        <w:rPr>
          <w:rFonts w:cstheme="minorHAnsi"/>
        </w:rPr>
        <w:t xml:space="preserve"> clause amended to note revisions to the application prior to approval may be invited by the ARC.</w:t>
      </w:r>
    </w:p>
    <w:p w14:paraId="51E444E9" w14:textId="2615A77C" w:rsidR="00340184" w:rsidRPr="00155F3A" w:rsidRDefault="00340184" w:rsidP="00155F3A">
      <w:pPr>
        <w:pStyle w:val="ListParagraph"/>
        <w:numPr>
          <w:ilvl w:val="0"/>
          <w:numId w:val="30"/>
        </w:numPr>
        <w:spacing w:before="120" w:after="120"/>
        <w:rPr>
          <w:rFonts w:cstheme="minorHAnsi"/>
        </w:rPr>
      </w:pPr>
      <w:r w:rsidRPr="00D33478">
        <w:rPr>
          <w:rFonts w:cstheme="minorHAnsi"/>
          <w:b/>
          <w:bCs/>
        </w:rPr>
        <w:t>8.</w:t>
      </w:r>
      <w:r w:rsidR="00C36CDC" w:rsidRPr="00D33478">
        <w:rPr>
          <w:rFonts w:cstheme="minorHAnsi"/>
          <w:b/>
          <w:bCs/>
        </w:rPr>
        <w:t>4</w:t>
      </w:r>
      <w:r w:rsidRPr="00D33478">
        <w:rPr>
          <w:rFonts w:cstheme="minorHAnsi"/>
          <w:b/>
          <w:bCs/>
        </w:rPr>
        <w:t>-8.</w:t>
      </w:r>
      <w:r w:rsidR="00C36CDC" w:rsidRPr="00D33478">
        <w:rPr>
          <w:rFonts w:cstheme="minorHAnsi"/>
          <w:b/>
          <w:bCs/>
        </w:rPr>
        <w:t>5</w:t>
      </w:r>
      <w:r w:rsidRPr="00D33478">
        <w:rPr>
          <w:rFonts w:cstheme="minorHAnsi"/>
          <w:b/>
          <w:bCs/>
        </w:rPr>
        <w:t xml:space="preserve"> The grant selection process</w:t>
      </w:r>
      <w:r w:rsidRPr="00155F3A">
        <w:rPr>
          <w:rFonts w:cstheme="minorHAnsi"/>
        </w:rPr>
        <w:t xml:space="preserve"> </w:t>
      </w:r>
      <w:r w:rsidRPr="00664A17">
        <w:rPr>
          <w:rFonts w:cstheme="minorHAnsi"/>
        </w:rPr>
        <w:t>added new clauses:</w:t>
      </w:r>
    </w:p>
    <w:p w14:paraId="3D3470B1" w14:textId="16CCD38E" w:rsidR="00340184" w:rsidRPr="00155F3A" w:rsidRDefault="00340184" w:rsidP="00155F3A">
      <w:pPr>
        <w:pStyle w:val="ListParagraph"/>
        <w:numPr>
          <w:ilvl w:val="1"/>
          <w:numId w:val="30"/>
        </w:numPr>
        <w:spacing w:before="120" w:after="120"/>
        <w:ind w:left="1276"/>
      </w:pPr>
      <w:r w:rsidRPr="00155F3A">
        <w:t>We may seek advice on</w:t>
      </w:r>
      <w:r w:rsidR="00BE6CA9" w:rsidRPr="00155F3A">
        <w:t xml:space="preserve"> national</w:t>
      </w:r>
      <w:r w:rsidRPr="00155F3A">
        <w:t xml:space="preserve"> security or other matters from Commonwealth agencies in relation to the application.</w:t>
      </w:r>
    </w:p>
    <w:p w14:paraId="1FD40C2C" w14:textId="77777777" w:rsidR="00340184" w:rsidRPr="00155F3A" w:rsidRDefault="00340184" w:rsidP="00155F3A">
      <w:pPr>
        <w:pStyle w:val="ListParagraph"/>
        <w:numPr>
          <w:ilvl w:val="1"/>
          <w:numId w:val="30"/>
        </w:numPr>
        <w:spacing w:before="120" w:after="120"/>
        <w:ind w:left="1276"/>
      </w:pPr>
      <w:r w:rsidRPr="00155F3A">
        <w:t>We may seek information from You regarding due diligence activities in relation to the application.</w:t>
      </w:r>
    </w:p>
    <w:p w14:paraId="765E7C5B" w14:textId="2CD333BB" w:rsidR="009A4C57" w:rsidRPr="008860F8" w:rsidRDefault="009A4C57" w:rsidP="00155F3A">
      <w:pPr>
        <w:pStyle w:val="ListParagraph"/>
        <w:numPr>
          <w:ilvl w:val="0"/>
          <w:numId w:val="30"/>
        </w:numPr>
        <w:spacing w:before="120" w:after="120"/>
        <w:rPr>
          <w:rFonts w:cstheme="minorHAnsi"/>
          <w:b/>
          <w:bCs/>
        </w:rPr>
      </w:pPr>
      <w:r w:rsidRPr="00D33478">
        <w:rPr>
          <w:rFonts w:cstheme="minorHAnsi"/>
          <w:b/>
          <w:bCs/>
        </w:rPr>
        <w:t>8</w:t>
      </w:r>
      <w:r w:rsidR="00A77142">
        <w:rPr>
          <w:rFonts w:cstheme="minorHAnsi"/>
          <w:b/>
          <w:bCs/>
        </w:rPr>
        <w:t>.</w:t>
      </w:r>
      <w:r w:rsidRPr="00D33478">
        <w:rPr>
          <w:rFonts w:cstheme="minorHAnsi"/>
          <w:b/>
          <w:bCs/>
        </w:rPr>
        <w:t>13</w:t>
      </w:r>
      <w:r w:rsidR="008860F8" w:rsidRPr="00D33478">
        <w:rPr>
          <w:b/>
          <w:bCs/>
        </w:rPr>
        <w:t xml:space="preserve"> </w:t>
      </w:r>
      <w:r w:rsidR="008860F8" w:rsidRPr="00D33478">
        <w:rPr>
          <w:rFonts w:cstheme="minorHAnsi"/>
          <w:b/>
          <w:bCs/>
        </w:rPr>
        <w:t>The assessment process</w:t>
      </w:r>
      <w:r w:rsidR="008860F8">
        <w:rPr>
          <w:rFonts w:cstheme="minorHAnsi"/>
          <w:b/>
          <w:bCs/>
        </w:rPr>
        <w:t xml:space="preserve">: </w:t>
      </w:r>
      <w:r w:rsidR="00D353A7">
        <w:rPr>
          <w:rFonts w:cstheme="minorHAnsi"/>
        </w:rPr>
        <w:t xml:space="preserve">amended clause to </w:t>
      </w:r>
      <w:r w:rsidR="00D353A7" w:rsidRPr="00D33478">
        <w:rPr>
          <w:rFonts w:cstheme="minorHAnsi"/>
        </w:rPr>
        <w:t>“During the assessment process We may request additional information, which does not change the nature of Your application”</w:t>
      </w:r>
      <w:r w:rsidR="00402895">
        <w:rPr>
          <w:rFonts w:cstheme="minorHAnsi"/>
        </w:rPr>
        <w:t>.</w:t>
      </w:r>
    </w:p>
    <w:p w14:paraId="24E3AD9B" w14:textId="60B1C981" w:rsidR="00340184" w:rsidRPr="00836DAB" w:rsidRDefault="00340184" w:rsidP="00155F3A">
      <w:pPr>
        <w:pStyle w:val="ListParagraph"/>
        <w:numPr>
          <w:ilvl w:val="0"/>
          <w:numId w:val="30"/>
        </w:numPr>
        <w:spacing w:before="120" w:after="120"/>
        <w:rPr>
          <w:rFonts w:cstheme="minorHAnsi"/>
        </w:rPr>
      </w:pPr>
      <w:r w:rsidRPr="00836DAB">
        <w:rPr>
          <w:rFonts w:cstheme="minorHAnsi"/>
          <w:b/>
          <w:bCs/>
        </w:rPr>
        <w:lastRenderedPageBreak/>
        <w:t>8.</w:t>
      </w:r>
      <w:r w:rsidR="00760860">
        <w:rPr>
          <w:rFonts w:cstheme="minorHAnsi"/>
          <w:b/>
          <w:bCs/>
        </w:rPr>
        <w:t>28, 8</w:t>
      </w:r>
      <w:r w:rsidR="00A77142">
        <w:rPr>
          <w:rFonts w:cstheme="minorHAnsi"/>
          <w:b/>
          <w:bCs/>
        </w:rPr>
        <w:t>.</w:t>
      </w:r>
      <w:r w:rsidR="00760860">
        <w:rPr>
          <w:rFonts w:cstheme="minorHAnsi"/>
          <w:b/>
          <w:bCs/>
        </w:rPr>
        <w:t>30</w:t>
      </w:r>
      <w:r w:rsidRPr="00836DAB">
        <w:rPr>
          <w:rFonts w:cstheme="minorHAnsi"/>
          <w:b/>
          <w:bCs/>
        </w:rPr>
        <w:t xml:space="preserve"> Who will approve grants</w:t>
      </w:r>
      <w:r w:rsidRPr="00836DAB">
        <w:rPr>
          <w:rFonts w:cstheme="minorHAnsi"/>
        </w:rPr>
        <w:t xml:space="preserve"> clause amended to specify that: The CEO</w:t>
      </w:r>
      <w:r w:rsidR="008621F2">
        <w:rPr>
          <w:rFonts w:cstheme="minorHAnsi"/>
        </w:rPr>
        <w:t xml:space="preserve"> and the Minister</w:t>
      </w:r>
      <w:r w:rsidRPr="00836DAB">
        <w:rPr>
          <w:rFonts w:cstheme="minorHAnsi"/>
        </w:rPr>
        <w:t xml:space="preserve"> may seek advice on </w:t>
      </w:r>
      <w:r w:rsidR="00B76A27">
        <w:rPr>
          <w:rFonts w:cstheme="minorHAnsi"/>
        </w:rPr>
        <w:t xml:space="preserve">national </w:t>
      </w:r>
      <w:r w:rsidRPr="00836DAB">
        <w:rPr>
          <w:rFonts w:cstheme="minorHAnsi"/>
        </w:rPr>
        <w:t xml:space="preserve">security or other matters from Commonwealth agencies before making recommendations. </w:t>
      </w:r>
    </w:p>
    <w:p w14:paraId="4D87E0EF" w14:textId="4DA9BB3A" w:rsidR="00522099" w:rsidRDefault="00340184" w:rsidP="00155F3A">
      <w:pPr>
        <w:pStyle w:val="ListParagraph"/>
        <w:numPr>
          <w:ilvl w:val="0"/>
          <w:numId w:val="30"/>
        </w:numPr>
        <w:spacing w:before="120" w:after="120"/>
        <w:rPr>
          <w:rFonts w:cstheme="minorHAnsi"/>
        </w:rPr>
      </w:pPr>
      <w:r w:rsidRPr="005E1736">
        <w:rPr>
          <w:rFonts w:cstheme="minorHAnsi"/>
          <w:b/>
          <w:bCs/>
        </w:rPr>
        <w:t>12.</w:t>
      </w:r>
      <w:r w:rsidR="00053807">
        <w:rPr>
          <w:rFonts w:cstheme="minorHAnsi"/>
          <w:b/>
          <w:bCs/>
        </w:rPr>
        <w:t>15</w:t>
      </w:r>
      <w:r w:rsidRPr="005E1736">
        <w:rPr>
          <w:rFonts w:cstheme="minorHAnsi"/>
          <w:b/>
          <w:bCs/>
        </w:rPr>
        <w:t xml:space="preserve"> Grant agreement variations</w:t>
      </w:r>
      <w:r w:rsidRPr="005E1736">
        <w:rPr>
          <w:rFonts w:cstheme="minorHAnsi"/>
        </w:rPr>
        <w:t xml:space="preserve"> amended clause to reflect due diligence occurring in relation to changes that may occur following approval of a grant.</w:t>
      </w:r>
    </w:p>
    <w:p w14:paraId="0724180D" w14:textId="18FE6DA5" w:rsidR="00643BD2" w:rsidRPr="00232DA8" w:rsidRDefault="00643BD2" w:rsidP="007B4D76">
      <w:pPr>
        <w:pStyle w:val="Heading3"/>
        <w:rPr>
          <w:rFonts w:ascii="Calibri" w:hAnsi="Calibri" w:cs="Calibri"/>
        </w:rPr>
      </w:pPr>
      <w:r w:rsidRPr="00232DA8">
        <w:t>Assessment</w:t>
      </w:r>
      <w:r w:rsidRPr="00232DA8">
        <w:rPr>
          <w:rFonts w:ascii="Calibri" w:hAnsi="Calibri" w:cs="Calibri"/>
        </w:rPr>
        <w:t xml:space="preserve"> Criteria</w:t>
      </w:r>
    </w:p>
    <w:p w14:paraId="142D8A1A" w14:textId="3D744AD3" w:rsidR="00EE0B7E" w:rsidRPr="00EE0B7E" w:rsidRDefault="00EE0B7E" w:rsidP="00EE0B7E">
      <w:pPr>
        <w:pStyle w:val="ListParagraph"/>
        <w:numPr>
          <w:ilvl w:val="0"/>
          <w:numId w:val="30"/>
        </w:numPr>
        <w:rPr>
          <w:rFonts w:ascii="Calibri" w:hAnsi="Calibri" w:cs="Calibri"/>
        </w:rPr>
      </w:pPr>
      <w:r>
        <w:rPr>
          <w:rFonts w:ascii="Calibri" w:hAnsi="Calibri" w:cs="Calibri"/>
        </w:rPr>
        <w:t>T</w:t>
      </w:r>
      <w:r w:rsidRPr="00EE0B7E">
        <w:rPr>
          <w:rFonts w:ascii="Calibri" w:hAnsi="Calibri" w:cs="Calibri"/>
        </w:rPr>
        <w:t>he weighting</w:t>
      </w:r>
      <w:r w:rsidR="009C427C">
        <w:rPr>
          <w:rFonts w:ascii="Calibri" w:hAnsi="Calibri" w:cs="Calibri"/>
        </w:rPr>
        <w:t>s</w:t>
      </w:r>
      <w:r w:rsidRPr="00EE0B7E">
        <w:rPr>
          <w:rFonts w:ascii="Calibri" w:hAnsi="Calibri" w:cs="Calibri"/>
        </w:rPr>
        <w:t xml:space="preserve"> of the assessment criteria</w:t>
      </w:r>
      <w:r>
        <w:rPr>
          <w:rFonts w:ascii="Calibri" w:hAnsi="Calibri" w:cs="Calibri"/>
        </w:rPr>
        <w:t xml:space="preserve"> ha</w:t>
      </w:r>
      <w:r w:rsidR="009C427C">
        <w:rPr>
          <w:rFonts w:ascii="Calibri" w:hAnsi="Calibri" w:cs="Calibri"/>
        </w:rPr>
        <w:t>ve</w:t>
      </w:r>
      <w:r>
        <w:rPr>
          <w:rFonts w:ascii="Calibri" w:hAnsi="Calibri" w:cs="Calibri"/>
        </w:rPr>
        <w:t xml:space="preserve"> been </w:t>
      </w:r>
      <w:r w:rsidR="00D056F5">
        <w:rPr>
          <w:rFonts w:ascii="Calibri" w:hAnsi="Calibri" w:cs="Calibri"/>
        </w:rPr>
        <w:t>updated</w:t>
      </w:r>
      <w:r w:rsidRPr="00EE0B7E">
        <w:rPr>
          <w:rFonts w:ascii="Calibri" w:hAnsi="Calibri" w:cs="Calibri"/>
        </w:rPr>
        <w:t xml:space="preserve"> </w:t>
      </w:r>
      <w:r w:rsidR="00550208">
        <w:rPr>
          <w:rFonts w:ascii="Calibri" w:hAnsi="Calibri" w:cs="Calibri"/>
        </w:rPr>
        <w:t>to</w:t>
      </w:r>
      <w:r w:rsidR="00CD797F">
        <w:rPr>
          <w:rFonts w:ascii="Calibri" w:hAnsi="Calibri" w:cs="Calibri"/>
        </w:rPr>
        <w:t xml:space="preserve"> </w:t>
      </w:r>
      <w:r w:rsidR="00AF2130">
        <w:rPr>
          <w:rFonts w:ascii="Calibri" w:hAnsi="Calibri" w:cs="Calibri"/>
        </w:rPr>
        <w:t>place greater emphasis on</w:t>
      </w:r>
      <w:r w:rsidR="009C427C">
        <w:rPr>
          <w:rFonts w:ascii="Calibri" w:hAnsi="Calibri" w:cs="Calibri"/>
        </w:rPr>
        <w:t xml:space="preserve"> </w:t>
      </w:r>
      <w:r w:rsidR="00D056F5">
        <w:rPr>
          <w:rFonts w:ascii="Calibri" w:hAnsi="Calibri" w:cs="Calibri"/>
        </w:rPr>
        <w:t>contribution to Australian Government priority areas</w:t>
      </w:r>
      <w:r w:rsidRPr="00EE0B7E">
        <w:rPr>
          <w:rFonts w:ascii="Calibri" w:hAnsi="Calibri" w:cs="Calibri"/>
        </w:rPr>
        <w:t>.</w:t>
      </w:r>
    </w:p>
    <w:p w14:paraId="498B89A8" w14:textId="007E9C86" w:rsidR="00411D3C" w:rsidRDefault="003A5135" w:rsidP="00411D3C">
      <w:pPr>
        <w:pStyle w:val="ListParagraph"/>
        <w:numPr>
          <w:ilvl w:val="0"/>
          <w:numId w:val="30"/>
        </w:numPr>
        <w:spacing w:before="120" w:after="120"/>
        <w:rPr>
          <w:rFonts w:ascii="Calibri" w:hAnsi="Calibri" w:cs="Calibri"/>
        </w:rPr>
      </w:pPr>
      <w:r>
        <w:rPr>
          <w:rFonts w:ascii="Calibri" w:hAnsi="Calibri" w:cs="Calibri"/>
        </w:rPr>
        <w:t xml:space="preserve">Under the “Benefit” criterion, </w:t>
      </w:r>
      <w:r w:rsidR="00411D3C">
        <w:rPr>
          <w:rFonts w:ascii="Calibri" w:hAnsi="Calibri" w:cs="Calibri"/>
        </w:rPr>
        <w:t xml:space="preserve">the </w:t>
      </w:r>
      <w:r w:rsidR="00411D3C" w:rsidRPr="00266F1A">
        <w:rPr>
          <w:rFonts w:ascii="Calibri" w:hAnsi="Calibri" w:cs="Calibri"/>
        </w:rPr>
        <w:t>National Manufacturing Priorities</w:t>
      </w:r>
      <w:r w:rsidR="00565117">
        <w:rPr>
          <w:rFonts w:ascii="Calibri" w:hAnsi="Calibri" w:cs="Calibri"/>
        </w:rPr>
        <w:t>,</w:t>
      </w:r>
      <w:r w:rsidR="00411D3C" w:rsidRPr="00266F1A">
        <w:rPr>
          <w:rFonts w:ascii="Calibri" w:hAnsi="Calibri" w:cs="Calibri"/>
        </w:rPr>
        <w:t xml:space="preserve"> Low Emissions Technology Statement, the National Agricultural Innovation Priorities and the Defence Science and Technology Strategy 2030</w:t>
      </w:r>
      <w:r w:rsidR="006F6042">
        <w:rPr>
          <w:rFonts w:ascii="Calibri" w:hAnsi="Calibri" w:cs="Calibri"/>
        </w:rPr>
        <w:t xml:space="preserve"> have been added</w:t>
      </w:r>
      <w:r w:rsidR="00411D3C">
        <w:rPr>
          <w:rFonts w:ascii="Calibri" w:hAnsi="Calibri" w:cs="Calibri"/>
        </w:rPr>
        <w:t xml:space="preserve"> as areas of</w:t>
      </w:r>
      <w:r w:rsidR="00411D3C" w:rsidRPr="00266F1A">
        <w:rPr>
          <w:rFonts w:ascii="Calibri" w:hAnsi="Calibri" w:cs="Calibri"/>
        </w:rPr>
        <w:t xml:space="preserve"> </w:t>
      </w:r>
      <w:r w:rsidR="00411D3C">
        <w:rPr>
          <w:rFonts w:ascii="Calibri" w:hAnsi="Calibri" w:cs="Calibri"/>
        </w:rPr>
        <w:t xml:space="preserve">potential contribution, to align with Government focus on these </w:t>
      </w:r>
      <w:r w:rsidR="00411D3C" w:rsidRPr="00266F1A">
        <w:rPr>
          <w:rFonts w:ascii="Calibri" w:hAnsi="Calibri" w:cs="Calibri"/>
        </w:rPr>
        <w:t>priority areas</w:t>
      </w:r>
      <w:r w:rsidR="00411D3C">
        <w:rPr>
          <w:rFonts w:ascii="Calibri" w:hAnsi="Calibri" w:cs="Calibri"/>
        </w:rPr>
        <w:t>.</w:t>
      </w:r>
    </w:p>
    <w:p w14:paraId="0EBB6BFD" w14:textId="0D003D08" w:rsidR="00643BD2" w:rsidRPr="00232DA8" w:rsidRDefault="00643BD2" w:rsidP="00155F3A">
      <w:pPr>
        <w:pStyle w:val="ListParagraph"/>
        <w:numPr>
          <w:ilvl w:val="0"/>
          <w:numId w:val="30"/>
        </w:numPr>
        <w:spacing w:before="120" w:after="120"/>
        <w:rPr>
          <w:rFonts w:ascii="Calibri" w:hAnsi="Calibri" w:cs="Calibri"/>
        </w:rPr>
      </w:pPr>
      <w:r w:rsidRPr="00155F3A">
        <w:rPr>
          <w:rFonts w:cstheme="minorHAnsi"/>
        </w:rPr>
        <w:t xml:space="preserve">The </w:t>
      </w:r>
      <w:r w:rsidR="00D54B01" w:rsidRPr="00155F3A">
        <w:rPr>
          <w:rFonts w:cstheme="minorHAnsi"/>
        </w:rPr>
        <w:t xml:space="preserve">wording of the ARC’s standard Aboriginal and/or Torres Strait Islander </w:t>
      </w:r>
      <w:r w:rsidR="00985887" w:rsidRPr="00155F3A">
        <w:rPr>
          <w:rFonts w:cstheme="minorHAnsi"/>
        </w:rPr>
        <w:t>communities’</w:t>
      </w:r>
      <w:r w:rsidR="00D54B01" w:rsidRPr="00155F3A">
        <w:rPr>
          <w:rFonts w:cstheme="minorHAnsi"/>
        </w:rPr>
        <w:t xml:space="preserve"> section </w:t>
      </w:r>
      <w:r w:rsidRPr="00232DA8">
        <w:rPr>
          <w:rFonts w:ascii="Calibri" w:hAnsi="Calibri" w:cs="Calibri"/>
        </w:rPr>
        <w:t xml:space="preserve">has been updated to </w:t>
      </w:r>
      <w:proofErr w:type="gramStart"/>
      <w:r w:rsidR="00D54B01">
        <w:rPr>
          <w:rFonts w:ascii="Calibri" w:hAnsi="Calibri" w:cs="Calibri"/>
        </w:rPr>
        <w:t>more accurately reflect the criteri</w:t>
      </w:r>
      <w:r w:rsidR="007575E3">
        <w:rPr>
          <w:rFonts w:ascii="Calibri" w:hAnsi="Calibri" w:cs="Calibri"/>
        </w:rPr>
        <w:t>on</w:t>
      </w:r>
      <w:r w:rsidR="00D54B01">
        <w:rPr>
          <w:rFonts w:ascii="Calibri" w:hAnsi="Calibri" w:cs="Calibri"/>
        </w:rPr>
        <w:t>’s intention</w:t>
      </w:r>
      <w:proofErr w:type="gramEnd"/>
      <w:r w:rsidR="003D4C92">
        <w:rPr>
          <w:rFonts w:ascii="Calibri" w:hAnsi="Calibri" w:cs="Calibri"/>
        </w:rPr>
        <w:t xml:space="preserve"> in line with clarifications provided in past grant opportunity Frequently Asked Questions</w:t>
      </w:r>
      <w:r w:rsidRPr="00232DA8">
        <w:rPr>
          <w:rFonts w:ascii="Calibri" w:hAnsi="Calibri" w:cs="Calibri"/>
        </w:rPr>
        <w:t>.</w:t>
      </w:r>
    </w:p>
    <w:p w14:paraId="23B1AB1D" w14:textId="21F849F7" w:rsidR="00435A3F" w:rsidRDefault="00522099" w:rsidP="002664E1">
      <w:pPr>
        <w:pStyle w:val="ListParagraph"/>
        <w:numPr>
          <w:ilvl w:val="0"/>
          <w:numId w:val="30"/>
        </w:numPr>
        <w:spacing w:before="120" w:after="120"/>
        <w:rPr>
          <w:rFonts w:ascii="Calibri" w:hAnsi="Calibri" w:cs="Calibri"/>
        </w:rPr>
      </w:pPr>
      <w:r>
        <w:rPr>
          <w:rFonts w:ascii="Calibri" w:hAnsi="Calibri" w:cs="Calibri"/>
        </w:rPr>
        <w:t>There is a c</w:t>
      </w:r>
      <w:r w:rsidR="004A0565">
        <w:rPr>
          <w:rFonts w:ascii="Calibri" w:hAnsi="Calibri" w:cs="Calibri"/>
        </w:rPr>
        <w:t>hange in terminology from ‘candidates’ to ‘named participants’ to reflect collaborat</w:t>
      </w:r>
      <w:r>
        <w:rPr>
          <w:rFonts w:ascii="Calibri" w:hAnsi="Calibri" w:cs="Calibri"/>
        </w:rPr>
        <w:t>i</w:t>
      </w:r>
      <w:r w:rsidR="004A0565">
        <w:rPr>
          <w:rFonts w:ascii="Calibri" w:hAnsi="Calibri" w:cs="Calibri"/>
        </w:rPr>
        <w:t xml:space="preserve">ve project-based (rather than researcher-based) focus of </w:t>
      </w:r>
      <w:r w:rsidR="004A0565" w:rsidRPr="00D33478">
        <w:rPr>
          <w:rFonts w:ascii="Calibri" w:hAnsi="Calibri" w:cs="Calibri"/>
          <w:i/>
          <w:iCs/>
        </w:rPr>
        <w:t>Linkage Projects</w:t>
      </w:r>
      <w:r w:rsidR="004A0565">
        <w:rPr>
          <w:rFonts w:ascii="Calibri" w:hAnsi="Calibri" w:cs="Calibri"/>
        </w:rPr>
        <w:t xml:space="preserve"> scheme. </w:t>
      </w:r>
      <w:r w:rsidR="0080744B">
        <w:rPr>
          <w:rFonts w:ascii="Calibri" w:hAnsi="Calibri" w:cs="Calibri"/>
        </w:rPr>
        <w:t>This is also reflected in the removal of ‘candidate’ from Definitions.</w:t>
      </w:r>
    </w:p>
    <w:p w14:paraId="1D934C0E" w14:textId="00B6A201" w:rsidR="006971B9" w:rsidRDefault="006971B9" w:rsidP="00473BF2">
      <w:pPr>
        <w:spacing w:before="120" w:after="120"/>
        <w:ind w:left="360" w:firstLine="720"/>
        <w:rPr>
          <w:rFonts w:ascii="Calibri" w:hAnsi="Calibri" w:cs="Calibri"/>
          <w:u w:val="single"/>
        </w:rPr>
      </w:pPr>
      <w:proofErr w:type="gramStart"/>
      <w:r w:rsidRPr="006971B9">
        <w:rPr>
          <w:rFonts w:ascii="Calibri" w:hAnsi="Calibri" w:cs="Calibri"/>
          <w:u w:val="single"/>
        </w:rPr>
        <w:t>Guidelines</w:t>
      </w:r>
      <w:proofErr w:type="gramEnd"/>
      <w:r w:rsidRPr="006971B9">
        <w:rPr>
          <w:rFonts w:ascii="Calibri" w:hAnsi="Calibri" w:cs="Calibri"/>
          <w:u w:val="single"/>
        </w:rPr>
        <w:t xml:space="preserve"> reference: 6.3</w:t>
      </w:r>
    </w:p>
    <w:p w14:paraId="4DE66B2B" w14:textId="77777777" w:rsidR="001C70B2" w:rsidRPr="00E542E7" w:rsidRDefault="001C70B2" w:rsidP="001C70B2">
      <w:pPr>
        <w:pStyle w:val="Heading3"/>
        <w:rPr>
          <w:rFonts w:ascii="Calibri" w:hAnsi="Calibri" w:cs="Calibri"/>
          <w:b w:val="0"/>
          <w:bCs w:val="0"/>
        </w:rPr>
      </w:pPr>
      <w:r w:rsidRPr="00E542E7">
        <w:rPr>
          <w:rFonts w:ascii="Calibri" w:hAnsi="Calibri" w:cs="Calibri"/>
        </w:rPr>
        <w:t>Continuous Assessment</w:t>
      </w:r>
    </w:p>
    <w:p w14:paraId="1BAA3627" w14:textId="77777777" w:rsidR="001C70B2" w:rsidRDefault="001C70B2" w:rsidP="001C70B2">
      <w:pPr>
        <w:ind w:left="720"/>
        <w:rPr>
          <w:rFonts w:ascii="Calibri" w:eastAsia="Calibri" w:hAnsi="Calibri"/>
        </w:rPr>
      </w:pPr>
      <w:r>
        <w:rPr>
          <w:rFonts w:ascii="Calibri" w:eastAsia="Calibri" w:hAnsi="Calibri"/>
        </w:rPr>
        <w:t xml:space="preserve">Updates have been made in the Grant Guidelines to clarify the fact that the Linkage Projects scheme receives applications on a continuous </w:t>
      </w:r>
      <w:proofErr w:type="gramStart"/>
      <w:r>
        <w:rPr>
          <w:rFonts w:ascii="Calibri" w:eastAsia="Calibri" w:hAnsi="Calibri"/>
        </w:rPr>
        <w:t>basis, but</w:t>
      </w:r>
      <w:proofErr w:type="gramEnd"/>
      <w:r>
        <w:rPr>
          <w:rFonts w:ascii="Calibri" w:eastAsia="Calibri" w:hAnsi="Calibri"/>
        </w:rPr>
        <w:t xml:space="preserve"> is assessed periodically via a competitive process in a series of assessment rounds. A definition of ‘assessment round’ has also been added. </w:t>
      </w:r>
    </w:p>
    <w:p w14:paraId="6BEC2E5D" w14:textId="77777777" w:rsidR="001C70B2" w:rsidRPr="00822518" w:rsidRDefault="001C70B2" w:rsidP="001C70B2">
      <w:pPr>
        <w:ind w:left="720"/>
        <w:rPr>
          <w:rFonts w:ascii="Calibri" w:eastAsia="Calibri" w:hAnsi="Calibri"/>
        </w:rPr>
      </w:pPr>
      <w:proofErr w:type="gramStart"/>
      <w:r w:rsidRPr="00822518">
        <w:rPr>
          <w:rFonts w:ascii="Calibri" w:eastAsia="Calibri" w:hAnsi="Calibri"/>
          <w:u w:val="single"/>
        </w:rPr>
        <w:t>Guidelines</w:t>
      </w:r>
      <w:proofErr w:type="gramEnd"/>
      <w:r w:rsidRPr="00822518">
        <w:rPr>
          <w:rFonts w:ascii="Calibri" w:eastAsia="Calibri" w:hAnsi="Calibri"/>
          <w:u w:val="single"/>
        </w:rPr>
        <w:t xml:space="preserve"> reference</w:t>
      </w:r>
      <w:r w:rsidRPr="00822518">
        <w:rPr>
          <w:rFonts w:ascii="Calibri" w:eastAsia="Calibri" w:hAnsi="Calibri"/>
        </w:rPr>
        <w:t>:</w:t>
      </w:r>
      <w:r>
        <w:rPr>
          <w:rFonts w:ascii="Calibri" w:eastAsia="Calibri" w:hAnsi="Calibri"/>
        </w:rPr>
        <w:t xml:space="preserve"> 7.3, 7.14, 7.15, 8.2, 15.2 (see also Requests not to assess, below)</w:t>
      </w:r>
    </w:p>
    <w:p w14:paraId="587A0C9F" w14:textId="493706C4" w:rsidR="00C82601" w:rsidRPr="00232DA8" w:rsidRDefault="002B1177" w:rsidP="00C82601">
      <w:pPr>
        <w:pStyle w:val="Heading3"/>
        <w:rPr>
          <w:rFonts w:ascii="Calibri" w:hAnsi="Calibri" w:cs="Calibri"/>
        </w:rPr>
      </w:pPr>
      <w:r>
        <w:t xml:space="preserve">Who will assess </w:t>
      </w:r>
      <w:proofErr w:type="gramStart"/>
      <w:r>
        <w:t>applications</w:t>
      </w:r>
      <w:proofErr w:type="gramEnd"/>
    </w:p>
    <w:p w14:paraId="5AF059A4" w14:textId="426114DF" w:rsidR="00C82601" w:rsidRDefault="18C4C49A" w:rsidP="00D33478">
      <w:pPr>
        <w:ind w:left="720"/>
      </w:pPr>
      <w:r>
        <w:t>Updated Whole of Government clause abou</w:t>
      </w:r>
      <w:r w:rsidR="11BF2667">
        <w:t xml:space="preserve">t </w:t>
      </w:r>
      <w:r w:rsidR="00815DFD">
        <w:t xml:space="preserve">General </w:t>
      </w:r>
      <w:r w:rsidR="0016528E">
        <w:t xml:space="preserve">Assessors involved </w:t>
      </w:r>
      <w:r>
        <w:t xml:space="preserve">who are not Commonwealth </w:t>
      </w:r>
      <w:r w:rsidR="385DE247">
        <w:t>o</w:t>
      </w:r>
      <w:r>
        <w:t>fficial</w:t>
      </w:r>
      <w:r w:rsidR="11BF2667">
        <w:t>s</w:t>
      </w:r>
      <w:r>
        <w:t>, requir</w:t>
      </w:r>
      <w:r w:rsidR="11BF2667">
        <w:t>ing them to</w:t>
      </w:r>
      <w:r>
        <w:t xml:space="preserve"> perform their duties in accordance with the C</w:t>
      </w:r>
      <w:r w:rsidR="57A3E6C5">
        <w:t xml:space="preserve">ommonwealth </w:t>
      </w:r>
      <w:r>
        <w:t>G</w:t>
      </w:r>
      <w:r w:rsidR="675C74BD">
        <w:t>rant</w:t>
      </w:r>
      <w:r w:rsidR="008C35BF">
        <w:t>s</w:t>
      </w:r>
      <w:r w:rsidR="675C74BD">
        <w:t xml:space="preserve"> </w:t>
      </w:r>
      <w:r>
        <w:t>R</w:t>
      </w:r>
      <w:r w:rsidR="00B3588D">
        <w:t xml:space="preserve">ules and </w:t>
      </w:r>
      <w:r>
        <w:t>G</w:t>
      </w:r>
      <w:r w:rsidR="008C35BF">
        <w:t>uideline</w:t>
      </w:r>
      <w:r>
        <w:t>s.</w:t>
      </w:r>
    </w:p>
    <w:p w14:paraId="71C1A256" w14:textId="6ED6E00A" w:rsidR="002B1177" w:rsidRDefault="007E3582" w:rsidP="00D33478">
      <w:pPr>
        <w:ind w:left="720"/>
      </w:pPr>
      <w:proofErr w:type="gramStart"/>
      <w:r w:rsidRPr="00FE296A">
        <w:rPr>
          <w:u w:val="single"/>
        </w:rPr>
        <w:t>Guidelines</w:t>
      </w:r>
      <w:proofErr w:type="gramEnd"/>
      <w:r w:rsidRPr="00FE296A">
        <w:rPr>
          <w:u w:val="single"/>
        </w:rPr>
        <w:t xml:space="preserve"> reference</w:t>
      </w:r>
      <w:r>
        <w:t>: 8.2</w:t>
      </w:r>
      <w:r w:rsidR="00292FF8">
        <w:t>5</w:t>
      </w:r>
    </w:p>
    <w:p w14:paraId="4E925D7E" w14:textId="10D0A704" w:rsidR="008D2EB3" w:rsidRPr="00232DA8" w:rsidRDefault="008D2EB3" w:rsidP="008D2EB3">
      <w:pPr>
        <w:pStyle w:val="Heading3"/>
        <w:rPr>
          <w:rFonts w:ascii="Calibri" w:hAnsi="Calibri" w:cs="Calibri"/>
        </w:rPr>
      </w:pPr>
      <w:r>
        <w:t xml:space="preserve">Who will approve </w:t>
      </w:r>
      <w:proofErr w:type="gramStart"/>
      <w:r>
        <w:t>applications</w:t>
      </w:r>
      <w:proofErr w:type="gramEnd"/>
    </w:p>
    <w:p w14:paraId="1323DC91" w14:textId="50FDE810" w:rsidR="00ED3B6A" w:rsidRPr="00E536C2" w:rsidRDefault="001355C5" w:rsidP="00D33478">
      <w:pPr>
        <w:ind w:left="720"/>
      </w:pPr>
      <w:r w:rsidRPr="00255AE2">
        <w:rPr>
          <w:rFonts w:cstheme="minorHAnsi"/>
        </w:rPr>
        <w:t xml:space="preserve">There is a new clause, which reflects the existing process whereby </w:t>
      </w:r>
      <w:r w:rsidR="0080744B">
        <w:rPr>
          <w:rFonts w:cstheme="minorHAnsi"/>
        </w:rPr>
        <w:t xml:space="preserve">appeals can only be brought for administrative </w:t>
      </w:r>
      <w:r w:rsidR="008F3981">
        <w:rPr>
          <w:rFonts w:cstheme="minorHAnsi"/>
        </w:rPr>
        <w:t xml:space="preserve">reasons and </w:t>
      </w:r>
      <w:r w:rsidRPr="00255AE2">
        <w:rPr>
          <w:rFonts w:cstheme="minorHAnsi"/>
        </w:rPr>
        <w:t>t</w:t>
      </w:r>
      <w:r w:rsidR="00ED3B6A" w:rsidRPr="00196979">
        <w:t>here is no ARC appeal mechanism for decisions to approve or not approve a grant.</w:t>
      </w:r>
    </w:p>
    <w:p w14:paraId="22B7FC9D" w14:textId="27907961" w:rsidR="008D2EB3" w:rsidRPr="00D33478" w:rsidRDefault="001355C5" w:rsidP="00D33478">
      <w:pPr>
        <w:ind w:left="720"/>
      </w:pPr>
      <w:proofErr w:type="gramStart"/>
      <w:r w:rsidRPr="00FE296A">
        <w:rPr>
          <w:u w:val="single"/>
        </w:rPr>
        <w:t>Guidelines</w:t>
      </w:r>
      <w:proofErr w:type="gramEnd"/>
      <w:r w:rsidRPr="00FE296A">
        <w:rPr>
          <w:u w:val="single"/>
        </w:rPr>
        <w:t xml:space="preserve"> reference</w:t>
      </w:r>
      <w:r>
        <w:t>: 8.33</w:t>
      </w:r>
    </w:p>
    <w:p w14:paraId="4BE97762" w14:textId="77777777" w:rsidR="0032109B" w:rsidRPr="007E537C" w:rsidRDefault="0032109B" w:rsidP="0032109B">
      <w:pPr>
        <w:pStyle w:val="Heading2"/>
        <w:rPr>
          <w:rFonts w:asciiTheme="minorHAnsi" w:hAnsiTheme="minorHAnsi" w:cstheme="minorHAnsi"/>
          <w:sz w:val="24"/>
          <w:szCs w:val="24"/>
        </w:rPr>
      </w:pPr>
      <w:r w:rsidRPr="007E537C">
        <w:rPr>
          <w:rFonts w:asciiTheme="minorHAnsi" w:hAnsiTheme="minorHAnsi" w:cstheme="minorHAnsi"/>
          <w:sz w:val="24"/>
          <w:szCs w:val="24"/>
        </w:rPr>
        <w:t>ELIGIBILITY</w:t>
      </w:r>
    </w:p>
    <w:p w14:paraId="2FC73679" w14:textId="555DD3A3" w:rsidR="00122C79" w:rsidRDefault="004067A9" w:rsidP="005B5F64">
      <w:pPr>
        <w:pStyle w:val="Heading3"/>
      </w:pPr>
      <w:r>
        <w:t>Eligible Organisation</w:t>
      </w:r>
    </w:p>
    <w:p w14:paraId="6747E07D" w14:textId="47A92F2F" w:rsidR="004067A9" w:rsidRDefault="004067A9" w:rsidP="0069181D">
      <w:pPr>
        <w:spacing w:before="120" w:after="120"/>
        <w:ind w:left="774"/>
      </w:pPr>
      <w:r>
        <w:t>Avondale University has been added as an Eligible Organisation</w:t>
      </w:r>
      <w:r w:rsidR="00344961">
        <w:t xml:space="preserve"> to apply for and receive ARC funding. </w:t>
      </w:r>
      <w:r w:rsidR="000A6273">
        <w:t>Following</w:t>
      </w:r>
      <w:r w:rsidR="00CB7E31">
        <w:t xml:space="preserve"> an assessment by t</w:t>
      </w:r>
      <w:r w:rsidR="00937A55">
        <w:t xml:space="preserve">he Tertiary </w:t>
      </w:r>
      <w:r w:rsidR="002E3137">
        <w:t xml:space="preserve">Education, Quality and Standards Agency (TEQSA) </w:t>
      </w:r>
      <w:r w:rsidR="00E8776D">
        <w:t xml:space="preserve">Avondale University </w:t>
      </w:r>
      <w:r w:rsidR="00CB7E31">
        <w:t xml:space="preserve">has been registered </w:t>
      </w:r>
      <w:r w:rsidR="00272320">
        <w:t>as an Australian University</w:t>
      </w:r>
      <w:r w:rsidR="000A6273">
        <w:t xml:space="preserve"> in line with the new </w:t>
      </w:r>
      <w:r w:rsidR="00C2278F" w:rsidRPr="00C2278F">
        <w:t>Higher Education Standards Framework (Threshold Standards) 2021</w:t>
      </w:r>
      <w:r w:rsidR="00C2278F">
        <w:t xml:space="preserve"> which came to effect on 1 July 2021.</w:t>
      </w:r>
    </w:p>
    <w:p w14:paraId="6FB66FAE" w14:textId="4083F152" w:rsidR="00C2278F" w:rsidRPr="004067A9" w:rsidRDefault="00C2278F" w:rsidP="0027532E">
      <w:pPr>
        <w:ind w:left="567" w:firstLine="153"/>
      </w:pPr>
      <w:proofErr w:type="gramStart"/>
      <w:r w:rsidRPr="00FE296A">
        <w:rPr>
          <w:u w:val="single"/>
        </w:rPr>
        <w:t>Guidelines</w:t>
      </w:r>
      <w:proofErr w:type="gramEnd"/>
      <w:r w:rsidRPr="00FE296A">
        <w:rPr>
          <w:u w:val="single"/>
        </w:rPr>
        <w:t xml:space="preserve"> reference</w:t>
      </w:r>
      <w:r>
        <w:t xml:space="preserve">: </w:t>
      </w:r>
      <w:r w:rsidR="0008079D">
        <w:t>4.</w:t>
      </w:r>
      <w:r w:rsidR="00DE0E18">
        <w:t>6</w:t>
      </w:r>
    </w:p>
    <w:p w14:paraId="5695D7D4" w14:textId="0162363B" w:rsidR="0032109B" w:rsidRPr="007E537C" w:rsidRDefault="000714A4" w:rsidP="007B4D76">
      <w:pPr>
        <w:pStyle w:val="Heading3"/>
      </w:pPr>
      <w:r w:rsidRPr="000714A4">
        <w:t>General</w:t>
      </w:r>
    </w:p>
    <w:p w14:paraId="67CF8813" w14:textId="77777777" w:rsidR="00360B35" w:rsidRDefault="00675066" w:rsidP="00675066">
      <w:pPr>
        <w:spacing w:before="120" w:after="120"/>
        <w:ind w:left="774"/>
        <w:rPr>
          <w:rFonts w:cstheme="minorHAnsi"/>
        </w:rPr>
      </w:pPr>
      <w:r w:rsidRPr="00675066">
        <w:rPr>
          <w:rFonts w:cstheme="minorHAnsi"/>
        </w:rPr>
        <w:lastRenderedPageBreak/>
        <w:t>A</w:t>
      </w:r>
      <w:r w:rsidR="004F3C54" w:rsidRPr="00675066">
        <w:rPr>
          <w:rFonts w:cstheme="minorHAnsi"/>
        </w:rPr>
        <w:t xml:space="preserve"> new </w:t>
      </w:r>
      <w:r w:rsidR="00D41D52" w:rsidRPr="00675066">
        <w:rPr>
          <w:rFonts w:cstheme="minorHAnsi"/>
        </w:rPr>
        <w:t>clause</w:t>
      </w:r>
      <w:r w:rsidRPr="00675066">
        <w:rPr>
          <w:rFonts w:cstheme="minorHAnsi"/>
        </w:rPr>
        <w:t xml:space="preserve"> has been added to</w:t>
      </w:r>
      <w:r w:rsidR="00D41D52" w:rsidRPr="00675066">
        <w:rPr>
          <w:rFonts w:cstheme="minorHAnsi"/>
        </w:rPr>
        <w:t xml:space="preserve"> reflect the existing process whereby the ARC may refuse applicat</w:t>
      </w:r>
      <w:r w:rsidR="00FB2A38" w:rsidRPr="00675066">
        <w:rPr>
          <w:rFonts w:cstheme="minorHAnsi"/>
        </w:rPr>
        <w:t>ion</w:t>
      </w:r>
      <w:r w:rsidR="00D41D52" w:rsidRPr="00675066">
        <w:rPr>
          <w:rFonts w:cstheme="minorHAnsi"/>
        </w:rPr>
        <w:t xml:space="preserve">s </w:t>
      </w:r>
      <w:r w:rsidR="00FB2A38" w:rsidRPr="00675066">
        <w:rPr>
          <w:rFonts w:cstheme="minorHAnsi"/>
        </w:rPr>
        <w:t xml:space="preserve">involving researchers </w:t>
      </w:r>
      <w:r w:rsidR="00D41D52" w:rsidRPr="00675066">
        <w:rPr>
          <w:rFonts w:cstheme="minorHAnsi"/>
        </w:rPr>
        <w:t>who have breached the</w:t>
      </w:r>
      <w:r w:rsidR="00D41D52" w:rsidRPr="00675066">
        <w:rPr>
          <w:rFonts w:cstheme="minorHAnsi"/>
          <w:i/>
          <w:iCs/>
        </w:rPr>
        <w:t xml:space="preserve"> Australian Code for the Responsible Conduct of Research</w:t>
      </w:r>
      <w:r w:rsidR="00B36EC9" w:rsidRPr="00675066">
        <w:rPr>
          <w:rFonts w:cstheme="minorHAnsi"/>
          <w:i/>
          <w:iCs/>
        </w:rPr>
        <w:t xml:space="preserve"> (2018)</w:t>
      </w:r>
      <w:r w:rsidR="00D7051F" w:rsidRPr="00675066">
        <w:rPr>
          <w:rFonts w:cstheme="minorHAnsi"/>
        </w:rPr>
        <w:t xml:space="preserve">. </w:t>
      </w:r>
    </w:p>
    <w:p w14:paraId="21618ABB" w14:textId="240ED35E" w:rsidR="00CD0C06" w:rsidRPr="005C7F38" w:rsidRDefault="002C224A" w:rsidP="00675066">
      <w:pPr>
        <w:spacing w:before="120" w:after="120"/>
        <w:ind w:left="774"/>
      </w:pPr>
      <w:proofErr w:type="gramStart"/>
      <w:r w:rsidRPr="00675066">
        <w:rPr>
          <w:u w:val="single"/>
        </w:rPr>
        <w:t>Guidelines</w:t>
      </w:r>
      <w:proofErr w:type="gramEnd"/>
      <w:r w:rsidRPr="00675066">
        <w:rPr>
          <w:u w:val="single"/>
        </w:rPr>
        <w:t xml:space="preserve"> reference</w:t>
      </w:r>
      <w:r w:rsidRPr="007E537C">
        <w:t xml:space="preserve">: </w:t>
      </w:r>
      <w:r>
        <w:t>4.</w:t>
      </w:r>
      <w:r w:rsidR="00AA77D4">
        <w:t>20</w:t>
      </w:r>
    </w:p>
    <w:p w14:paraId="063B7A45" w14:textId="3EB00109" w:rsidR="00BD33DC" w:rsidRPr="005C7F38" w:rsidRDefault="00BE7721" w:rsidP="0027532E">
      <w:pPr>
        <w:spacing w:before="120" w:after="120"/>
        <w:ind w:left="774"/>
        <w:rPr>
          <w:rFonts w:cstheme="minorHAnsi"/>
        </w:rPr>
      </w:pPr>
      <w:r w:rsidRPr="00BE7721">
        <w:rPr>
          <w:rFonts w:cstheme="minorHAnsi"/>
        </w:rPr>
        <w:t>New sub clause added</w:t>
      </w:r>
      <w:r w:rsidR="00B14A81">
        <w:rPr>
          <w:rFonts w:cstheme="minorHAnsi"/>
        </w:rPr>
        <w:t xml:space="preserve"> to allow applicants to </w:t>
      </w:r>
      <w:r w:rsidR="00913EAA">
        <w:rPr>
          <w:rFonts w:cstheme="minorHAnsi"/>
        </w:rPr>
        <w:t>“</w:t>
      </w:r>
      <w:r w:rsidR="00913EAA">
        <w:t xml:space="preserve">nominate none, one or more Partner Investigators (PIs)” to </w:t>
      </w:r>
      <w:r w:rsidR="005C7F38">
        <w:t xml:space="preserve">reflect a change in RMS </w:t>
      </w:r>
      <w:r w:rsidR="00913EAA">
        <w:t>recogn</w:t>
      </w:r>
      <w:r w:rsidR="005C7F38">
        <w:t>ising</w:t>
      </w:r>
      <w:r w:rsidR="00913EAA">
        <w:t xml:space="preserve"> that some applications may not include partner investigators. </w:t>
      </w:r>
    </w:p>
    <w:p w14:paraId="3CE48244" w14:textId="49657E31" w:rsidR="00360B35" w:rsidRDefault="005C7F38" w:rsidP="009E7209">
      <w:pPr>
        <w:spacing w:before="120" w:after="120"/>
        <w:ind w:left="54" w:firstLine="720"/>
        <w:rPr>
          <w:u w:val="single"/>
        </w:rPr>
      </w:pPr>
      <w:proofErr w:type="gramStart"/>
      <w:r w:rsidRPr="005C7F38">
        <w:rPr>
          <w:u w:val="single"/>
        </w:rPr>
        <w:t>Guidelines</w:t>
      </w:r>
      <w:proofErr w:type="gramEnd"/>
      <w:r w:rsidRPr="005C7F38">
        <w:rPr>
          <w:u w:val="single"/>
        </w:rPr>
        <w:t xml:space="preserve"> reference</w:t>
      </w:r>
      <w:r w:rsidRPr="005B5F64">
        <w:rPr>
          <w:u w:val="single"/>
        </w:rPr>
        <w:t>: 4.1c</w:t>
      </w:r>
    </w:p>
    <w:p w14:paraId="5D7C3221" w14:textId="33B81F44" w:rsidR="000714A4" w:rsidRPr="008D3864" w:rsidRDefault="008D3864" w:rsidP="007B4D76">
      <w:pPr>
        <w:pStyle w:val="Heading3"/>
      </w:pPr>
      <w:r w:rsidRPr="008D3864">
        <w:t>Participants</w:t>
      </w:r>
    </w:p>
    <w:p w14:paraId="2F6E3166" w14:textId="51B200B6" w:rsidR="00375D3B" w:rsidRPr="00375D3B" w:rsidRDefault="00506910" w:rsidP="00375D3B">
      <w:pPr>
        <w:pStyle w:val="ListParagraph"/>
        <w:numPr>
          <w:ilvl w:val="0"/>
          <w:numId w:val="30"/>
        </w:numPr>
        <w:spacing w:before="120" w:after="120"/>
        <w:rPr>
          <w:rFonts w:cstheme="minorHAnsi"/>
        </w:rPr>
      </w:pPr>
      <w:r w:rsidRPr="00271E1D">
        <w:rPr>
          <w:rFonts w:cstheme="minorHAnsi"/>
        </w:rPr>
        <w:t>T</w:t>
      </w:r>
      <w:r w:rsidR="0032109B" w:rsidRPr="00271E1D">
        <w:rPr>
          <w:rFonts w:cstheme="minorHAnsi"/>
        </w:rPr>
        <w:t xml:space="preserve">he </w:t>
      </w:r>
      <w:r w:rsidR="0032109B" w:rsidRPr="008436B6">
        <w:rPr>
          <w:rFonts w:cstheme="minorHAnsi"/>
        </w:rPr>
        <w:t>Project Leader</w:t>
      </w:r>
      <w:r w:rsidR="0032109B" w:rsidRPr="00271E1D">
        <w:rPr>
          <w:rFonts w:cstheme="minorHAnsi"/>
        </w:rPr>
        <w:t xml:space="preserve"> must be employed by the Administering Organisation for at least 20</w:t>
      </w:r>
      <w:r w:rsidR="0040706A" w:rsidRPr="00271E1D">
        <w:rPr>
          <w:rFonts w:cstheme="minorHAnsi"/>
        </w:rPr>
        <w:t xml:space="preserve">% </w:t>
      </w:r>
      <w:r w:rsidR="0032109B" w:rsidRPr="00271E1D">
        <w:rPr>
          <w:rFonts w:cstheme="minorHAnsi"/>
        </w:rPr>
        <w:t>of Full Time Equivalent (0.</w:t>
      </w:r>
      <w:r w:rsidRPr="00271E1D">
        <w:rPr>
          <w:rFonts w:cstheme="minorHAnsi"/>
        </w:rPr>
        <w:t>2</w:t>
      </w:r>
      <w:r w:rsidR="0032109B" w:rsidRPr="00271E1D">
        <w:rPr>
          <w:rFonts w:cstheme="minorHAnsi"/>
        </w:rPr>
        <w:t xml:space="preserve"> FTE). </w:t>
      </w:r>
    </w:p>
    <w:p w14:paraId="2589E46F" w14:textId="05EB5024" w:rsidR="00300C79" w:rsidRPr="00300C79" w:rsidRDefault="00A24E02" w:rsidP="0097367F">
      <w:pPr>
        <w:pStyle w:val="GrantGuidelinesClauseGeneralSection"/>
      </w:pPr>
      <w:proofErr w:type="gramStart"/>
      <w:r w:rsidRPr="00EA2BAA">
        <w:rPr>
          <w:u w:val="single"/>
        </w:rPr>
        <w:t>Guidelines</w:t>
      </w:r>
      <w:proofErr w:type="gramEnd"/>
      <w:r w:rsidRPr="00EA2BAA">
        <w:rPr>
          <w:u w:val="single"/>
        </w:rPr>
        <w:t xml:space="preserve"> reference</w:t>
      </w:r>
      <w:r w:rsidRPr="008436B6">
        <w:t>:</w:t>
      </w:r>
      <w:r w:rsidR="00470789" w:rsidRPr="008436B6">
        <w:t xml:space="preserve"> </w:t>
      </w:r>
      <w:r w:rsidR="00B44D11" w:rsidRPr="008436B6">
        <w:t>4.</w:t>
      </w:r>
      <w:r w:rsidR="00924178" w:rsidRPr="008436B6">
        <w:t>22</w:t>
      </w:r>
    </w:p>
    <w:p w14:paraId="0EA904C0" w14:textId="10E1125B" w:rsidR="0032109B" w:rsidRPr="000C26C7" w:rsidRDefault="0032109B" w:rsidP="000C26C7">
      <w:pPr>
        <w:pStyle w:val="ListParagraph"/>
        <w:numPr>
          <w:ilvl w:val="0"/>
          <w:numId w:val="30"/>
        </w:numPr>
        <w:spacing w:before="120" w:after="120"/>
        <w:rPr>
          <w:rFonts w:cstheme="minorHAnsi"/>
        </w:rPr>
      </w:pPr>
      <w:r w:rsidRPr="000C26C7">
        <w:rPr>
          <w:rFonts w:cstheme="minorHAnsi"/>
        </w:rPr>
        <w:t>Based on feedback identifying that the definition of an ‘</w:t>
      </w:r>
      <w:r w:rsidRPr="00255AE2">
        <w:rPr>
          <w:rFonts w:cstheme="minorHAnsi"/>
          <w:u w:val="single"/>
        </w:rPr>
        <w:t>honorary academic appointment</w:t>
      </w:r>
      <w:r w:rsidRPr="000C26C7">
        <w:rPr>
          <w:rFonts w:cstheme="minorHAnsi"/>
        </w:rPr>
        <w:t xml:space="preserve">’ was unclear and being inconsistently applied across the sector, it has been moved from the glossary into the body of the </w:t>
      </w:r>
      <w:r w:rsidR="00EF414B">
        <w:rPr>
          <w:rFonts w:cstheme="minorHAnsi"/>
        </w:rPr>
        <w:t>Guidelines</w:t>
      </w:r>
      <w:r w:rsidRPr="000C26C7">
        <w:rPr>
          <w:rFonts w:cstheme="minorHAnsi"/>
        </w:rPr>
        <w:t xml:space="preserve"> and changed to note that </w:t>
      </w:r>
      <w:r w:rsidR="003C23E5">
        <w:rPr>
          <w:rFonts w:cstheme="minorHAnsi"/>
        </w:rPr>
        <w:t>a</w:t>
      </w:r>
      <w:r w:rsidRPr="000C26C7">
        <w:rPr>
          <w:rFonts w:cstheme="minorHAnsi"/>
        </w:rPr>
        <w:t xml:space="preserve"> researcher is not eligible to be a Chief Investigator using their honorary academic appointment if they are employed by an organisation other than an eligible organisation for more than 0.2 FTE.</w:t>
      </w:r>
    </w:p>
    <w:p w14:paraId="13C55E73" w14:textId="560CA670" w:rsidR="00443A3C" w:rsidRPr="007E537C" w:rsidRDefault="00443A3C" w:rsidP="0097367F">
      <w:pPr>
        <w:pStyle w:val="GrantGuidelinesClauseGeneralSection"/>
      </w:pPr>
      <w:proofErr w:type="gramStart"/>
      <w:r w:rsidRPr="00EA2BAA">
        <w:rPr>
          <w:u w:val="single"/>
        </w:rPr>
        <w:t>Guidelines</w:t>
      </w:r>
      <w:proofErr w:type="gramEnd"/>
      <w:r w:rsidRPr="00EA2BAA">
        <w:rPr>
          <w:u w:val="single"/>
        </w:rPr>
        <w:t xml:space="preserve"> reference</w:t>
      </w:r>
      <w:r w:rsidRPr="007E537C">
        <w:t xml:space="preserve">: </w:t>
      </w:r>
      <w:r w:rsidR="00333BBB">
        <w:t>4.2</w:t>
      </w:r>
      <w:r w:rsidR="009031A5">
        <w:t>4</w:t>
      </w:r>
      <w:r w:rsidR="00333BBB">
        <w:t>b</w:t>
      </w:r>
    </w:p>
    <w:p w14:paraId="2564849D" w14:textId="3AEEF974" w:rsidR="00EC18E7" w:rsidRPr="006E6303" w:rsidRDefault="00FD0C59" w:rsidP="004F7BE9">
      <w:pPr>
        <w:pStyle w:val="ListParagraph"/>
        <w:numPr>
          <w:ilvl w:val="0"/>
          <w:numId w:val="30"/>
        </w:numPr>
        <w:spacing w:before="120" w:after="120"/>
      </w:pPr>
      <w:r>
        <w:t xml:space="preserve">Increased clarity </w:t>
      </w:r>
      <w:r w:rsidR="004D5454">
        <w:t xml:space="preserve">has been included </w:t>
      </w:r>
      <w:r>
        <w:t xml:space="preserve">around what is meant by </w:t>
      </w:r>
      <w:r w:rsidR="004D5454">
        <w:t xml:space="preserve">‘predominantly’ </w:t>
      </w:r>
      <w:r w:rsidR="006A79F8">
        <w:t xml:space="preserve">for the purposes of assessing </w:t>
      </w:r>
      <w:r w:rsidR="00EC18E7">
        <w:t>C</w:t>
      </w:r>
      <w:r w:rsidR="004F7BE9">
        <w:t>hief and Partner Investigator</w:t>
      </w:r>
      <w:r w:rsidR="00EC18E7">
        <w:t>s</w:t>
      </w:r>
      <w:r w:rsidR="004F7BE9">
        <w:t>’</w:t>
      </w:r>
      <w:r w:rsidR="00EC18E7">
        <w:t xml:space="preserve"> </w:t>
      </w:r>
      <w:r w:rsidR="004D5454">
        <w:t>Australia</w:t>
      </w:r>
      <w:r w:rsidR="006A79F8">
        <w:t xml:space="preserve">n residency: </w:t>
      </w:r>
      <w:r w:rsidR="0047243F">
        <w:t>the word ‘predominantly</w:t>
      </w:r>
      <w:r w:rsidR="006C6693">
        <w:t>’ has been replaced with</w:t>
      </w:r>
      <w:r w:rsidR="0047243F">
        <w:t xml:space="preserve"> </w:t>
      </w:r>
      <w:r w:rsidR="006A79F8">
        <w:t>“</w:t>
      </w:r>
      <w:r>
        <w:t>more than 50% of</w:t>
      </w:r>
      <w:r w:rsidRPr="004311AB">
        <w:t xml:space="preserve"> the </w:t>
      </w:r>
      <w:r>
        <w:t>project activity period</w:t>
      </w:r>
      <w:r w:rsidRPr="004311AB">
        <w:t>.</w:t>
      </w:r>
      <w:r w:rsidR="006A79F8">
        <w:t>”</w:t>
      </w:r>
      <w:r w:rsidR="0047243F">
        <w:t xml:space="preserve"> </w:t>
      </w:r>
    </w:p>
    <w:p w14:paraId="2AE133B9" w14:textId="5CED3C95" w:rsidR="006E6303" w:rsidRPr="006E6303" w:rsidRDefault="00EC18E7" w:rsidP="0097367F">
      <w:pPr>
        <w:pStyle w:val="GrantGuidelinesClauseGeneralSection"/>
      </w:pPr>
      <w:proofErr w:type="gramStart"/>
      <w:r w:rsidRPr="00EA2BAA">
        <w:rPr>
          <w:u w:val="single"/>
        </w:rPr>
        <w:t>Guidelines</w:t>
      </w:r>
      <w:proofErr w:type="gramEnd"/>
      <w:r w:rsidRPr="00EA2BAA">
        <w:rPr>
          <w:u w:val="single"/>
        </w:rPr>
        <w:t xml:space="preserve"> reference</w:t>
      </w:r>
      <w:r w:rsidRPr="007E537C">
        <w:t xml:space="preserve">: </w:t>
      </w:r>
      <w:r>
        <w:t>4.2</w:t>
      </w:r>
      <w:r w:rsidR="00D11083">
        <w:t>5</w:t>
      </w:r>
      <w:r w:rsidR="006054EA">
        <w:t>, 4</w:t>
      </w:r>
      <w:r w:rsidR="0047243F">
        <w:t>.</w:t>
      </w:r>
      <w:r w:rsidR="006054EA">
        <w:t>30</w:t>
      </w:r>
    </w:p>
    <w:p w14:paraId="453D4F15" w14:textId="7B8EA873" w:rsidR="00222EFF" w:rsidRDefault="00222EFF" w:rsidP="00222EFF">
      <w:pPr>
        <w:pStyle w:val="ListParagraph"/>
        <w:numPr>
          <w:ilvl w:val="0"/>
          <w:numId w:val="30"/>
        </w:numPr>
        <w:spacing w:before="120" w:after="120"/>
      </w:pPr>
      <w:r w:rsidRPr="004A2E47">
        <w:rPr>
          <w:rFonts w:cstheme="minorHAnsi"/>
        </w:rPr>
        <w:t>Greater</w:t>
      </w:r>
      <w:r>
        <w:t xml:space="preserve"> clarity has been provided about </w:t>
      </w:r>
      <w:r w:rsidRPr="00255AE2">
        <w:rPr>
          <w:u w:val="single"/>
        </w:rPr>
        <w:t>timing</w:t>
      </w:r>
      <w:r>
        <w:t xml:space="preserve"> of named participants meeting eligibility criteria. Named participants must meet eligibility requirements at the grant commencement date, unless otherwise specified. If the application is successful, eligibility criteria must continue to be met for the project activity period and any changes, including those relating to employment, must be submitted as a post-award variation request. </w:t>
      </w:r>
    </w:p>
    <w:p w14:paraId="77F49423" w14:textId="1257B1CA" w:rsidR="0088395A" w:rsidRPr="007E537C" w:rsidRDefault="00222EFF" w:rsidP="0097367F">
      <w:pPr>
        <w:pStyle w:val="GrantGuidelinesClauseGeneralSection"/>
      </w:pPr>
      <w:proofErr w:type="gramStart"/>
      <w:r w:rsidRPr="00EA2BAA">
        <w:rPr>
          <w:u w:val="single"/>
        </w:rPr>
        <w:t>Guidelines</w:t>
      </w:r>
      <w:proofErr w:type="gramEnd"/>
      <w:r w:rsidRPr="00EA2BAA">
        <w:rPr>
          <w:u w:val="single"/>
        </w:rPr>
        <w:t xml:space="preserve"> reference</w:t>
      </w:r>
      <w:r w:rsidRPr="007E537C">
        <w:t xml:space="preserve">: </w:t>
      </w:r>
      <w:r w:rsidR="00657411">
        <w:t>4.22</w:t>
      </w:r>
      <w:r w:rsidR="00FE0973">
        <w:t>,</w:t>
      </w:r>
      <w:r w:rsidR="007662F9">
        <w:t xml:space="preserve"> 4.24,</w:t>
      </w:r>
      <w:r w:rsidR="00FE0973">
        <w:t xml:space="preserve"> </w:t>
      </w:r>
      <w:r w:rsidR="00124A69">
        <w:t>4.2</w:t>
      </w:r>
      <w:r w:rsidR="004D63C9">
        <w:t>8</w:t>
      </w:r>
    </w:p>
    <w:p w14:paraId="0CECD6EA" w14:textId="34744173" w:rsidR="0032109B" w:rsidRDefault="007831B8" w:rsidP="00097F96">
      <w:pPr>
        <w:pStyle w:val="ListParagraph"/>
        <w:numPr>
          <w:ilvl w:val="0"/>
          <w:numId w:val="30"/>
        </w:numPr>
        <w:spacing w:before="120" w:after="120"/>
        <w:rPr>
          <w:rFonts w:cstheme="minorHAnsi"/>
        </w:rPr>
      </w:pPr>
      <w:r>
        <w:rPr>
          <w:rFonts w:cstheme="minorHAnsi"/>
        </w:rPr>
        <w:t>T</w:t>
      </w:r>
      <w:r w:rsidR="0032109B" w:rsidRPr="007E537C">
        <w:rPr>
          <w:rFonts w:cstheme="minorHAnsi"/>
        </w:rPr>
        <w:t xml:space="preserve">o reflect </w:t>
      </w:r>
      <w:r w:rsidR="0032109B" w:rsidRPr="00255AE2">
        <w:rPr>
          <w:rFonts w:cstheme="minorHAnsi"/>
          <w:u w:val="single"/>
        </w:rPr>
        <w:t>Whole of Government requirements</w:t>
      </w:r>
      <w:r w:rsidR="0032109B" w:rsidRPr="007E537C">
        <w:rPr>
          <w:rFonts w:cstheme="minorHAnsi"/>
        </w:rPr>
        <w:t xml:space="preserve">, </w:t>
      </w:r>
      <w:r w:rsidR="0032109B">
        <w:rPr>
          <w:rFonts w:cstheme="minorHAnsi"/>
        </w:rPr>
        <w:t xml:space="preserve">no named organisation may be </w:t>
      </w:r>
      <w:r w:rsidR="0032109B" w:rsidRPr="007E537C">
        <w:rPr>
          <w:rFonts w:cstheme="minorHAnsi"/>
        </w:rPr>
        <w:t xml:space="preserve">included on the National Redress Scheme’s website on the list of ‘Institutions that have not joined or signified their intent to join the </w:t>
      </w:r>
      <w:r w:rsidR="0032109B" w:rsidRPr="00097F96">
        <w:rPr>
          <w:rFonts w:cstheme="minorHAnsi"/>
        </w:rPr>
        <w:t>Scheme’ (</w:t>
      </w:r>
      <w:r w:rsidR="0032109B" w:rsidRPr="00097F96">
        <w:rPr>
          <w:rStyle w:val="Hyperlink"/>
          <w:rFonts w:asciiTheme="minorHAnsi" w:hAnsiTheme="minorHAnsi" w:cstheme="minorHAnsi"/>
        </w:rPr>
        <w:t>www.nationalredress.gov.au)</w:t>
      </w:r>
      <w:r w:rsidR="0032109B" w:rsidRPr="00097F96">
        <w:rPr>
          <w:rFonts w:cstheme="minorHAnsi"/>
        </w:rPr>
        <w:t>.</w:t>
      </w:r>
    </w:p>
    <w:p w14:paraId="0435D93E" w14:textId="1439FCF8" w:rsidR="00FE6A2D" w:rsidRPr="00334106" w:rsidRDefault="00B02153" w:rsidP="00473BF2">
      <w:pPr>
        <w:spacing w:before="120" w:after="120"/>
        <w:ind w:left="360" w:firstLine="720"/>
        <w:rPr>
          <w:u w:val="single"/>
        </w:rPr>
      </w:pPr>
      <w:proofErr w:type="gramStart"/>
      <w:r w:rsidRPr="00334106">
        <w:rPr>
          <w:u w:val="single"/>
        </w:rPr>
        <w:t>Guidelines</w:t>
      </w:r>
      <w:proofErr w:type="gramEnd"/>
      <w:r w:rsidRPr="00334106">
        <w:rPr>
          <w:u w:val="single"/>
        </w:rPr>
        <w:t xml:space="preserve"> reference</w:t>
      </w:r>
      <w:r w:rsidRPr="00E52191">
        <w:t xml:space="preserve">: </w:t>
      </w:r>
      <w:r w:rsidR="00D15970" w:rsidRPr="00E52191">
        <w:t>4.7</w:t>
      </w:r>
      <w:r w:rsidR="0047243F">
        <w:t>,</w:t>
      </w:r>
      <w:r w:rsidR="00D15970" w:rsidRPr="00E52191">
        <w:t xml:space="preserve"> </w:t>
      </w:r>
      <w:r w:rsidR="002300B2" w:rsidRPr="00E52191">
        <w:t>4.14</w:t>
      </w:r>
    </w:p>
    <w:p w14:paraId="5561F127" w14:textId="087ABCAA" w:rsidR="002143C1" w:rsidRDefault="007B4D76" w:rsidP="00334106">
      <w:pPr>
        <w:pStyle w:val="Heading3"/>
        <w:ind w:left="567" w:hanging="567"/>
      </w:pPr>
      <w:r>
        <w:t>Partner Organisations</w:t>
      </w:r>
    </w:p>
    <w:p w14:paraId="67A487EB" w14:textId="23576D1C" w:rsidR="00D353A7" w:rsidRPr="00D353A7" w:rsidRDefault="00D353A7" w:rsidP="00D353A7">
      <w:pPr>
        <w:spacing w:before="120" w:after="0"/>
        <w:ind w:left="567"/>
      </w:pPr>
      <w:r>
        <w:t xml:space="preserve">Updated wording in </w:t>
      </w:r>
      <w:proofErr w:type="gramStart"/>
      <w:r>
        <w:t>a number of</w:t>
      </w:r>
      <w:proofErr w:type="gramEnd"/>
      <w:r>
        <w:t xml:space="preserve"> places to clarify </w:t>
      </w:r>
      <w:r w:rsidR="00C6082A">
        <w:t xml:space="preserve">requirements for partner organisations. </w:t>
      </w:r>
    </w:p>
    <w:p w14:paraId="315A20DA" w14:textId="2BA11277" w:rsidR="00FE6A2D" w:rsidRPr="00233A48" w:rsidRDefault="007B3EAE" w:rsidP="00D353A7">
      <w:pPr>
        <w:pStyle w:val="ListParagraph"/>
        <w:numPr>
          <w:ilvl w:val="0"/>
          <w:numId w:val="30"/>
        </w:numPr>
        <w:spacing w:before="120" w:after="120"/>
      </w:pPr>
      <w:r w:rsidRPr="00233A48">
        <w:t>"</w:t>
      </w:r>
      <w:r w:rsidR="007B4D76" w:rsidRPr="00233A48">
        <w:t xml:space="preserve">Applications in which all Partner Organisations are exempt from the cash contribution requirements do not have to meet the overall </w:t>
      </w:r>
      <w:r w:rsidR="007B4D76" w:rsidRPr="00E27A35">
        <w:rPr>
          <w:i/>
          <w:iCs/>
        </w:rPr>
        <w:t>eligible</w:t>
      </w:r>
      <w:r w:rsidR="007B4D76" w:rsidRPr="00233A48">
        <w:t xml:space="preserve"> cash contribution requirement specified at Section 4.1.</w:t>
      </w:r>
      <w:r w:rsidRPr="00233A48">
        <w:t>”</w:t>
      </w:r>
    </w:p>
    <w:p w14:paraId="6CECD988" w14:textId="7E240AAF" w:rsidR="007B4D76" w:rsidRDefault="00FE6A2D" w:rsidP="00D6627A">
      <w:pPr>
        <w:spacing w:before="120" w:after="120"/>
        <w:ind w:left="360" w:firstLine="720"/>
      </w:pPr>
      <w:proofErr w:type="gramStart"/>
      <w:r w:rsidRPr="00C976B2">
        <w:rPr>
          <w:u w:val="single"/>
        </w:rPr>
        <w:t>Guidelines</w:t>
      </w:r>
      <w:proofErr w:type="gramEnd"/>
      <w:r w:rsidRPr="00C976B2">
        <w:rPr>
          <w:u w:val="single"/>
        </w:rPr>
        <w:t xml:space="preserve"> reference</w:t>
      </w:r>
      <w:r w:rsidRPr="007E537C">
        <w:t xml:space="preserve">: </w:t>
      </w:r>
      <w:r>
        <w:t>4.</w:t>
      </w:r>
      <w:r w:rsidR="007B3EAE">
        <w:t>13</w:t>
      </w:r>
    </w:p>
    <w:p w14:paraId="60A5828B" w14:textId="4DD232B6" w:rsidR="00C6082A" w:rsidRDefault="00C6082A" w:rsidP="00C6082A">
      <w:pPr>
        <w:pStyle w:val="ListParagraph"/>
        <w:numPr>
          <w:ilvl w:val="0"/>
          <w:numId w:val="30"/>
        </w:numPr>
        <w:spacing w:before="120" w:after="120"/>
      </w:pPr>
      <w:r>
        <w:t xml:space="preserve">Addition of ‘and/or other material resource’ </w:t>
      </w:r>
      <w:r w:rsidR="00407290">
        <w:t xml:space="preserve">as type of </w:t>
      </w:r>
      <w:r w:rsidR="00B31E9B">
        <w:t xml:space="preserve">eligible contribution </w:t>
      </w:r>
      <w:r w:rsidR="004F18E5">
        <w:t xml:space="preserve">to be consistent with other parts of the Grant Guidelines. </w:t>
      </w:r>
    </w:p>
    <w:p w14:paraId="5B0D760D" w14:textId="328F010C" w:rsidR="00B31E9B" w:rsidRDefault="00B31E9B" w:rsidP="00D6627A">
      <w:pPr>
        <w:spacing w:before="120" w:after="120"/>
        <w:ind w:left="360" w:firstLine="720"/>
      </w:pPr>
      <w:proofErr w:type="gramStart"/>
      <w:r w:rsidRPr="00E27A35">
        <w:rPr>
          <w:u w:val="single"/>
        </w:rPr>
        <w:lastRenderedPageBreak/>
        <w:t>Guidelines</w:t>
      </w:r>
      <w:proofErr w:type="gramEnd"/>
      <w:r w:rsidRPr="00E27A35">
        <w:rPr>
          <w:u w:val="single"/>
        </w:rPr>
        <w:t xml:space="preserve"> reference</w:t>
      </w:r>
      <w:r w:rsidRPr="007E537C">
        <w:t xml:space="preserve">: </w:t>
      </w:r>
      <w:r>
        <w:t>7.</w:t>
      </w:r>
      <w:r w:rsidR="004F18E5">
        <w:t>1</w:t>
      </w:r>
      <w:r w:rsidR="004C756A">
        <w:t>3</w:t>
      </w:r>
      <w:r w:rsidR="004F18E5">
        <w:t>d (see also</w:t>
      </w:r>
      <w:r w:rsidR="009832D5">
        <w:t xml:space="preserve"> 4.2, </w:t>
      </w:r>
      <w:r w:rsidR="00E27F0C">
        <w:t>4.8c,</w:t>
      </w:r>
      <w:r w:rsidR="004F18E5">
        <w:t xml:space="preserve"> </w:t>
      </w:r>
      <w:r w:rsidR="003D7573">
        <w:t>15.2</w:t>
      </w:r>
      <w:r w:rsidR="00FC1DAA">
        <w:t>)</w:t>
      </w:r>
    </w:p>
    <w:p w14:paraId="47BAD123" w14:textId="1B715366" w:rsidR="00233A48" w:rsidRDefault="00983285">
      <w:pPr>
        <w:pStyle w:val="ListParagraph"/>
        <w:numPr>
          <w:ilvl w:val="0"/>
          <w:numId w:val="30"/>
        </w:numPr>
        <w:spacing w:before="120" w:after="120"/>
      </w:pPr>
      <w:r>
        <w:t>Addition of “</w:t>
      </w:r>
      <w:r w:rsidR="008860E8">
        <w:t>f</w:t>
      </w:r>
      <w:r>
        <w:t xml:space="preserve">or Partner Organisations” to </w:t>
      </w:r>
      <w:r w:rsidR="0076215B">
        <w:t xml:space="preserve">clause to </w:t>
      </w:r>
      <w:r w:rsidR="00704A35">
        <w:t>remove ambiguity about requirements</w:t>
      </w:r>
      <w:r w:rsidRPr="00983285">
        <w:t xml:space="preserve"> that </w:t>
      </w:r>
      <w:r w:rsidR="0076215B">
        <w:t xml:space="preserve">must be met by </w:t>
      </w:r>
      <w:r w:rsidR="008860E8">
        <w:t>Partner Organisation</w:t>
      </w:r>
      <w:r w:rsidR="0076215B">
        <w:t>s</w:t>
      </w:r>
      <w:r w:rsidR="008860E8">
        <w:t>.</w:t>
      </w:r>
    </w:p>
    <w:p w14:paraId="75AC4A33" w14:textId="1E6C0B98" w:rsidR="00542FCB" w:rsidRDefault="00C10ED6" w:rsidP="00D6627A">
      <w:pPr>
        <w:spacing w:before="120" w:after="120"/>
        <w:ind w:left="360" w:firstLine="720"/>
      </w:pPr>
      <w:proofErr w:type="gramStart"/>
      <w:r w:rsidRPr="00E27A35">
        <w:rPr>
          <w:u w:val="single"/>
        </w:rPr>
        <w:t>Guidelines</w:t>
      </w:r>
      <w:proofErr w:type="gramEnd"/>
      <w:r w:rsidRPr="00E27A35">
        <w:rPr>
          <w:u w:val="single"/>
        </w:rPr>
        <w:t xml:space="preserve"> reference</w:t>
      </w:r>
      <w:r w:rsidRPr="007E537C">
        <w:t xml:space="preserve">: </w:t>
      </w:r>
      <w:r>
        <w:t>7.1</w:t>
      </w:r>
      <w:r w:rsidR="004C756A">
        <w:t>3</w:t>
      </w:r>
      <w:r>
        <w:t>i</w:t>
      </w:r>
    </w:p>
    <w:p w14:paraId="26AEE363" w14:textId="3FB45CE1" w:rsidR="004B296A" w:rsidRDefault="004B296A" w:rsidP="004B296A">
      <w:pPr>
        <w:pStyle w:val="Heading3"/>
        <w:ind w:left="567" w:hanging="567"/>
      </w:pPr>
      <w:r>
        <w:t>What grant funds can be used for</w:t>
      </w:r>
    </w:p>
    <w:p w14:paraId="4BB3486D" w14:textId="3F29881D" w:rsidR="005544B9" w:rsidRDefault="00CF4EA8" w:rsidP="00334106">
      <w:pPr>
        <w:pStyle w:val="ListParagraph"/>
        <w:numPr>
          <w:ilvl w:val="0"/>
          <w:numId w:val="30"/>
        </w:numPr>
        <w:spacing w:before="120" w:after="120"/>
      </w:pPr>
      <w:r>
        <w:t xml:space="preserve">Clarification that </w:t>
      </w:r>
      <w:r w:rsidR="00795AF9">
        <w:t>stipends</w:t>
      </w:r>
      <w:r>
        <w:t xml:space="preserve"> for Higher Degree Research students must be included </w:t>
      </w:r>
      <w:r w:rsidR="00795AF9">
        <w:t xml:space="preserve">as full-time at time of application: </w:t>
      </w:r>
      <w:r w:rsidR="005544B9">
        <w:t>“</w:t>
      </w:r>
      <w:r w:rsidR="005544B9" w:rsidRPr="005544B9">
        <w:t>stipends at 1.0 FTE for HDR students</w:t>
      </w:r>
      <w:r>
        <w:t xml:space="preserve"> </w:t>
      </w:r>
      <w:r w:rsidR="005544B9" w:rsidRPr="005544B9">
        <w:t>at an appropriate level for the Administering Organisation or the relevant industry sector</w:t>
      </w:r>
      <w:r w:rsidR="005544B9">
        <w:t>”</w:t>
      </w:r>
      <w:r w:rsidR="0045035C">
        <w:t>.</w:t>
      </w:r>
    </w:p>
    <w:p w14:paraId="5ACD58EB" w14:textId="14F44B54" w:rsidR="005544B9" w:rsidRDefault="005544B9" w:rsidP="00D6627A">
      <w:pPr>
        <w:spacing w:before="120" w:after="120"/>
        <w:ind w:left="720" w:firstLine="360"/>
      </w:pPr>
      <w:proofErr w:type="gramStart"/>
      <w:r w:rsidRPr="00C976B2">
        <w:rPr>
          <w:u w:val="single"/>
        </w:rPr>
        <w:t>Guidelines</w:t>
      </w:r>
      <w:proofErr w:type="gramEnd"/>
      <w:r w:rsidRPr="00C976B2">
        <w:rPr>
          <w:u w:val="single"/>
        </w:rPr>
        <w:t xml:space="preserve"> reference</w:t>
      </w:r>
      <w:r w:rsidRPr="007E537C">
        <w:t>:</w:t>
      </w:r>
      <w:r>
        <w:t xml:space="preserve"> 5.8</w:t>
      </w:r>
      <w:r w:rsidR="0037170F">
        <w:t>a</w:t>
      </w:r>
      <w:r>
        <w:t>(ii)</w:t>
      </w:r>
    </w:p>
    <w:p w14:paraId="7455535E" w14:textId="16330A94" w:rsidR="00B43B8F" w:rsidRDefault="00795AF9" w:rsidP="00B772DB">
      <w:pPr>
        <w:pStyle w:val="ListParagraph"/>
        <w:numPr>
          <w:ilvl w:val="0"/>
          <w:numId w:val="30"/>
        </w:numPr>
        <w:spacing w:before="120" w:after="120"/>
      </w:pPr>
      <w:r>
        <w:t xml:space="preserve">New clause regarding Antarctic research: </w:t>
      </w:r>
      <w:r w:rsidR="0037170F">
        <w:t>“</w:t>
      </w:r>
      <w:r w:rsidR="0037170F" w:rsidRPr="0037170F">
        <w:t>If Your proposed research project includes Antarctic research that will require logistical support, contact the Australian Antarctic Division for advice about available logistical support prior to submitting Your application</w:t>
      </w:r>
      <w:r w:rsidR="0037170F">
        <w:t>”</w:t>
      </w:r>
      <w:r w:rsidR="0045035C">
        <w:t>.</w:t>
      </w:r>
    </w:p>
    <w:p w14:paraId="2094E39D" w14:textId="7F4EF823" w:rsidR="0037170F" w:rsidRDefault="0037170F" w:rsidP="00D6627A">
      <w:pPr>
        <w:spacing w:before="120" w:after="120"/>
        <w:ind w:left="360" w:firstLine="720"/>
      </w:pPr>
      <w:proofErr w:type="gramStart"/>
      <w:r w:rsidRPr="0037170F">
        <w:rPr>
          <w:u w:val="single"/>
        </w:rPr>
        <w:t>Guidelines</w:t>
      </w:r>
      <w:proofErr w:type="gramEnd"/>
      <w:r w:rsidRPr="0037170F">
        <w:rPr>
          <w:u w:val="single"/>
        </w:rPr>
        <w:t xml:space="preserve"> reference</w:t>
      </w:r>
      <w:r w:rsidRPr="007E537C">
        <w:t>:</w:t>
      </w:r>
      <w:r>
        <w:t xml:space="preserve"> 5.8d</w:t>
      </w:r>
    </w:p>
    <w:p w14:paraId="3F96BBA5" w14:textId="6A55721D" w:rsidR="00B772DB" w:rsidRDefault="00B772DB" w:rsidP="00B772DB">
      <w:pPr>
        <w:pStyle w:val="Heading3"/>
        <w:ind w:left="567" w:hanging="567"/>
      </w:pPr>
      <w:r>
        <w:t>What grant funds cannot be used for</w:t>
      </w:r>
    </w:p>
    <w:p w14:paraId="4FB55C1F" w14:textId="5DEFEC3C" w:rsidR="0037170F" w:rsidRPr="00334106" w:rsidRDefault="00B772DB" w:rsidP="00334106">
      <w:pPr>
        <w:pStyle w:val="ListParagraph"/>
        <w:numPr>
          <w:ilvl w:val="0"/>
          <w:numId w:val="30"/>
        </w:numPr>
        <w:spacing w:before="120" w:after="120"/>
        <w:rPr>
          <w:rFonts w:cstheme="minorHAnsi"/>
        </w:rPr>
      </w:pPr>
      <w:r w:rsidRPr="006855B2">
        <w:rPr>
          <w:rFonts w:cstheme="minorHAnsi"/>
        </w:rPr>
        <w:t xml:space="preserve">Reference to </w:t>
      </w:r>
      <w:r w:rsidR="004B06D3" w:rsidRPr="006855B2">
        <w:rPr>
          <w:rFonts w:cstheme="minorHAnsi"/>
        </w:rPr>
        <w:t>salary top ups</w:t>
      </w:r>
      <w:r w:rsidR="003D5B70" w:rsidRPr="006855B2">
        <w:rPr>
          <w:rFonts w:cstheme="minorHAnsi"/>
        </w:rPr>
        <w:t xml:space="preserve"> </w:t>
      </w:r>
      <w:r w:rsidR="002A4BD9">
        <w:rPr>
          <w:rFonts w:cstheme="minorHAnsi"/>
        </w:rPr>
        <w:t xml:space="preserve">has been </w:t>
      </w:r>
      <w:r w:rsidR="003D5B70" w:rsidRPr="006855B2">
        <w:rPr>
          <w:rFonts w:cstheme="minorHAnsi"/>
        </w:rPr>
        <w:t>removed, as this is not relevant to the Linkage Projects scheme.</w:t>
      </w:r>
    </w:p>
    <w:p w14:paraId="750E67CC" w14:textId="4A1056E8" w:rsidR="00E06255" w:rsidRPr="00334106" w:rsidRDefault="003D5B70" w:rsidP="00D6627A">
      <w:pPr>
        <w:spacing w:before="120" w:after="120"/>
        <w:ind w:left="360" w:firstLine="720"/>
        <w:rPr>
          <w:u w:val="single"/>
        </w:rPr>
      </w:pPr>
      <w:proofErr w:type="gramStart"/>
      <w:r w:rsidRPr="006855B2">
        <w:rPr>
          <w:u w:val="single"/>
        </w:rPr>
        <w:t>Guidelines</w:t>
      </w:r>
      <w:proofErr w:type="gramEnd"/>
      <w:r w:rsidRPr="006855B2">
        <w:rPr>
          <w:u w:val="single"/>
        </w:rPr>
        <w:t xml:space="preserve"> reference</w:t>
      </w:r>
      <w:r w:rsidRPr="00E27A35">
        <w:t>: 5.</w:t>
      </w:r>
      <w:r w:rsidR="006855B2" w:rsidRPr="00E27A35">
        <w:t>10</w:t>
      </w:r>
    </w:p>
    <w:p w14:paraId="4AD58AA6" w14:textId="77777777" w:rsidR="00097F96" w:rsidRPr="007E537C" w:rsidRDefault="00097F96" w:rsidP="00097F96">
      <w:pPr>
        <w:pStyle w:val="Heading2"/>
        <w:rPr>
          <w:rFonts w:asciiTheme="minorHAnsi" w:hAnsiTheme="minorHAnsi" w:cstheme="minorHAnsi"/>
          <w:sz w:val="24"/>
          <w:szCs w:val="24"/>
        </w:rPr>
      </w:pPr>
      <w:r w:rsidRPr="007E537C">
        <w:rPr>
          <w:rFonts w:asciiTheme="minorHAnsi" w:hAnsiTheme="minorHAnsi" w:cstheme="minorHAnsi"/>
          <w:sz w:val="24"/>
          <w:szCs w:val="24"/>
        </w:rPr>
        <w:t>OTHER</w:t>
      </w:r>
    </w:p>
    <w:p w14:paraId="36D1521A" w14:textId="77777777" w:rsidR="008E0784" w:rsidRDefault="008E0784" w:rsidP="007B4D76">
      <w:pPr>
        <w:pStyle w:val="Heading3"/>
      </w:pPr>
      <w:r w:rsidRPr="008E0784">
        <w:t>National Interest Test</w:t>
      </w:r>
    </w:p>
    <w:p w14:paraId="409DF722" w14:textId="49D7D5A5" w:rsidR="009317A2" w:rsidRPr="000F6B9F" w:rsidRDefault="0069181D" w:rsidP="00F063DB">
      <w:pPr>
        <w:numPr>
          <w:ilvl w:val="0"/>
          <w:numId w:val="30"/>
        </w:numPr>
        <w:spacing w:before="120" w:after="120"/>
        <w:contextualSpacing/>
      </w:pPr>
      <w:r w:rsidRPr="00F063DB">
        <w:rPr>
          <w:rFonts w:ascii="Calibri" w:eastAsia="Calibri" w:hAnsi="Calibri"/>
        </w:rPr>
        <w:t>Additional</w:t>
      </w:r>
      <w:r>
        <w:t xml:space="preserve"> text has been provided on the </w:t>
      </w:r>
      <w:r w:rsidRPr="000F6B9F">
        <w:t>National Interest Test</w:t>
      </w:r>
      <w:r>
        <w:t>,</w:t>
      </w:r>
      <w:r w:rsidRPr="000F6B9F">
        <w:t xml:space="preserve"> to </w:t>
      </w:r>
      <w:r>
        <w:t>support</w:t>
      </w:r>
      <w:r w:rsidRPr="000F6B9F">
        <w:t xml:space="preserve"> applicants to clearly articulate the potential of the project to </w:t>
      </w:r>
      <w:r>
        <w:t>support</w:t>
      </w:r>
      <w:r w:rsidRPr="000F6B9F">
        <w:t xml:space="preserve"> Australia’s national </w:t>
      </w:r>
      <w:r>
        <w:t>interests</w:t>
      </w:r>
      <w:r w:rsidRPr="000F6B9F">
        <w:t>.</w:t>
      </w:r>
    </w:p>
    <w:p w14:paraId="308216FF" w14:textId="6BC002D7" w:rsidR="008E0784" w:rsidRDefault="008E0784" w:rsidP="00F063DB">
      <w:pPr>
        <w:spacing w:before="120" w:after="120"/>
        <w:ind w:left="360" w:firstLine="720"/>
      </w:pPr>
      <w:proofErr w:type="gramStart"/>
      <w:r w:rsidRPr="00E27A35">
        <w:rPr>
          <w:u w:val="single"/>
        </w:rPr>
        <w:t>Guidelines</w:t>
      </w:r>
      <w:proofErr w:type="gramEnd"/>
      <w:r w:rsidRPr="00E27A35">
        <w:rPr>
          <w:u w:val="single"/>
        </w:rPr>
        <w:t xml:space="preserve"> reference</w:t>
      </w:r>
      <w:r w:rsidRPr="00E52191">
        <w:t xml:space="preserve">: </w:t>
      </w:r>
      <w:r w:rsidR="009C7323" w:rsidRPr="00E52191">
        <w:t>8.16</w:t>
      </w:r>
    </w:p>
    <w:p w14:paraId="1343E3A0" w14:textId="77777777" w:rsidR="00F063DB" w:rsidRDefault="00F063DB" w:rsidP="00F063DB">
      <w:pPr>
        <w:numPr>
          <w:ilvl w:val="0"/>
          <w:numId w:val="30"/>
        </w:numPr>
        <w:spacing w:before="120" w:after="120"/>
        <w:contextualSpacing/>
        <w:rPr>
          <w:rFonts w:ascii="Calibri" w:eastAsia="Calibri" w:hAnsi="Calibri"/>
        </w:rPr>
      </w:pPr>
      <w:r>
        <w:rPr>
          <w:rFonts w:ascii="Calibri" w:eastAsia="Calibri" w:hAnsi="Calibri"/>
        </w:rPr>
        <w:t xml:space="preserve">A reference to the National Interest Test Statement has been included in the How to Apply section. </w:t>
      </w:r>
    </w:p>
    <w:p w14:paraId="4CD49ACF" w14:textId="6B2A579C" w:rsidR="00F063DB" w:rsidRPr="00F063DB" w:rsidRDefault="00F063DB" w:rsidP="00F063DB">
      <w:pPr>
        <w:spacing w:before="120" w:after="120"/>
        <w:ind w:left="360" w:firstLine="720"/>
        <w:rPr>
          <w:rFonts w:ascii="Calibri" w:eastAsia="Calibri" w:hAnsi="Calibri"/>
        </w:rPr>
      </w:pPr>
      <w:proofErr w:type="gramStart"/>
      <w:r w:rsidRPr="00822518">
        <w:rPr>
          <w:rFonts w:ascii="Calibri" w:eastAsia="Calibri" w:hAnsi="Calibri"/>
          <w:u w:val="single"/>
        </w:rPr>
        <w:t>Guidelines</w:t>
      </w:r>
      <w:proofErr w:type="gramEnd"/>
      <w:r w:rsidRPr="00822518">
        <w:rPr>
          <w:rFonts w:ascii="Calibri" w:eastAsia="Calibri" w:hAnsi="Calibri"/>
          <w:u w:val="single"/>
        </w:rPr>
        <w:t xml:space="preserve"> reference:</w:t>
      </w:r>
      <w:r w:rsidRPr="00822518">
        <w:rPr>
          <w:rFonts w:ascii="Calibri" w:eastAsia="Calibri" w:hAnsi="Calibri"/>
        </w:rPr>
        <w:t xml:space="preserve"> </w:t>
      </w:r>
      <w:r>
        <w:rPr>
          <w:rFonts w:ascii="Calibri" w:eastAsia="Calibri" w:hAnsi="Calibri"/>
        </w:rPr>
        <w:t>7.2c</w:t>
      </w:r>
    </w:p>
    <w:p w14:paraId="4B800EDB" w14:textId="77777777" w:rsidR="007A6A2D" w:rsidRDefault="007A6A2D" w:rsidP="007A6A2D">
      <w:pPr>
        <w:pStyle w:val="Heading3"/>
      </w:pPr>
      <w:r>
        <w:t>Requests not to assess</w:t>
      </w:r>
    </w:p>
    <w:p w14:paraId="0AC6BCAE" w14:textId="38427CD7" w:rsidR="007A6A2D" w:rsidRDefault="00F85F7E" w:rsidP="007A6A2D">
      <w:pPr>
        <w:pStyle w:val="ListParagraph"/>
        <w:numPr>
          <w:ilvl w:val="0"/>
          <w:numId w:val="30"/>
        </w:numPr>
        <w:spacing w:before="120" w:after="120"/>
      </w:pPr>
      <w:r>
        <w:t>T</w:t>
      </w:r>
      <w:r w:rsidR="007A6A2D">
        <w:t>he timeframe to submit a RNTA form on RMS has been clarified to indicate that the form must be received by the ARC “two weeks prior to the assessment round closing date” as opposed to the “application submission date”.</w:t>
      </w:r>
    </w:p>
    <w:p w14:paraId="05411FE1" w14:textId="77777777" w:rsidR="007A6A2D" w:rsidRPr="00D800A8" w:rsidRDefault="007A6A2D" w:rsidP="0020786C">
      <w:pPr>
        <w:spacing w:before="120" w:after="120"/>
        <w:ind w:left="360" w:firstLine="720"/>
        <w:rPr>
          <w:u w:val="single"/>
        </w:rPr>
      </w:pPr>
      <w:proofErr w:type="gramStart"/>
      <w:r w:rsidRPr="00D800A8">
        <w:rPr>
          <w:u w:val="single"/>
        </w:rPr>
        <w:t>Guidelines</w:t>
      </w:r>
      <w:proofErr w:type="gramEnd"/>
      <w:r w:rsidRPr="00D800A8">
        <w:rPr>
          <w:u w:val="single"/>
        </w:rPr>
        <w:t xml:space="preserve"> reference:</w:t>
      </w:r>
      <w:r w:rsidRPr="00E27A35">
        <w:t xml:space="preserve"> 8.18</w:t>
      </w:r>
    </w:p>
    <w:p w14:paraId="53CD5739" w14:textId="77777777" w:rsidR="0033759B" w:rsidRDefault="0033759B" w:rsidP="0033759B">
      <w:pPr>
        <w:pStyle w:val="Heading3"/>
      </w:pPr>
      <w:r w:rsidRPr="007E537C">
        <w:t>Timeframes</w:t>
      </w:r>
    </w:p>
    <w:p w14:paraId="07980AB7" w14:textId="77777777" w:rsidR="0033759B" w:rsidRDefault="0033759B" w:rsidP="0033759B">
      <w:pPr>
        <w:pStyle w:val="ListParagraph"/>
        <w:numPr>
          <w:ilvl w:val="0"/>
          <w:numId w:val="30"/>
        </w:numPr>
        <w:spacing w:before="120" w:after="120"/>
      </w:pPr>
      <w:r w:rsidRPr="00D22F66">
        <w:t xml:space="preserve">The timeframe to execute a Grant Agreement and the timeframe to make an appeal have both been changed from 28 days to 30 days, reflecting </w:t>
      </w:r>
      <w:r>
        <w:t>W</w:t>
      </w:r>
      <w:r w:rsidRPr="00D22F66">
        <w:t xml:space="preserve">hole of </w:t>
      </w:r>
      <w:r>
        <w:t>G</w:t>
      </w:r>
      <w:r w:rsidRPr="00D22F66">
        <w:t>overnment practice.</w:t>
      </w:r>
    </w:p>
    <w:p w14:paraId="60799539" w14:textId="5924F3DB" w:rsidR="002E2391" w:rsidRPr="0027532E" w:rsidRDefault="0033759B" w:rsidP="00D6627A">
      <w:pPr>
        <w:spacing w:before="120" w:after="120"/>
        <w:ind w:left="720" w:firstLine="360"/>
        <w:rPr>
          <w:u w:val="single"/>
        </w:rPr>
      </w:pPr>
      <w:proofErr w:type="gramStart"/>
      <w:r w:rsidRPr="0027532E">
        <w:rPr>
          <w:u w:val="single"/>
        </w:rPr>
        <w:t>Guidelines</w:t>
      </w:r>
      <w:proofErr w:type="gramEnd"/>
      <w:r w:rsidRPr="0027532E">
        <w:rPr>
          <w:u w:val="single"/>
        </w:rPr>
        <w:t xml:space="preserve"> reference: </w:t>
      </w:r>
      <w:r w:rsidRPr="002E2391">
        <w:t>10.3</w:t>
      </w:r>
      <w:r w:rsidR="006C6693">
        <w:t xml:space="preserve">, </w:t>
      </w:r>
      <w:r w:rsidRPr="002E2391">
        <w:t>13.4</w:t>
      </w:r>
    </w:p>
    <w:p w14:paraId="48BA01AF" w14:textId="1D2A6EBE" w:rsidR="0033759B" w:rsidRDefault="0033759B" w:rsidP="0033759B">
      <w:pPr>
        <w:pStyle w:val="Heading3"/>
      </w:pPr>
      <w:r>
        <w:t>R</w:t>
      </w:r>
      <w:r w:rsidRPr="00F72D27">
        <w:t>esearch policies and practices</w:t>
      </w:r>
    </w:p>
    <w:p w14:paraId="7FE73095" w14:textId="016A6387" w:rsidR="00081944" w:rsidRDefault="00081944" w:rsidP="00BF33BB">
      <w:pPr>
        <w:spacing w:before="120" w:after="0"/>
        <w:ind w:left="567"/>
        <w:rPr>
          <w:rFonts w:cstheme="minorHAnsi"/>
        </w:rPr>
      </w:pPr>
      <w:r w:rsidRPr="00BF33BB">
        <w:rPr>
          <w:rFonts w:cstheme="minorHAnsi"/>
        </w:rPr>
        <w:t xml:space="preserve">There are several updates in the grant guidelines to clearly outline </w:t>
      </w:r>
      <w:r w:rsidR="00BF33BB" w:rsidRPr="00BF33BB">
        <w:rPr>
          <w:rFonts w:cstheme="minorHAnsi"/>
        </w:rPr>
        <w:t xml:space="preserve">requirements about research policies and practices. </w:t>
      </w:r>
      <w:r w:rsidR="00BF33BB">
        <w:rPr>
          <w:rFonts w:cstheme="minorHAnsi"/>
        </w:rPr>
        <w:t>Changes include</w:t>
      </w:r>
      <w:r w:rsidR="00391A42">
        <w:rPr>
          <w:rFonts w:cstheme="minorHAnsi"/>
        </w:rPr>
        <w:t>:</w:t>
      </w:r>
    </w:p>
    <w:p w14:paraId="142AC56E" w14:textId="77777777" w:rsidR="00F063DB" w:rsidRDefault="00BF33BB" w:rsidP="00F063DB">
      <w:pPr>
        <w:pStyle w:val="ListParagraph"/>
        <w:numPr>
          <w:ilvl w:val="0"/>
          <w:numId w:val="30"/>
        </w:numPr>
        <w:spacing w:before="120" w:after="120"/>
      </w:pPr>
      <w:r>
        <w:t xml:space="preserve">Reference added to the </w:t>
      </w:r>
      <w:r w:rsidR="00D41CE6" w:rsidRPr="00D41CE6">
        <w:rPr>
          <w:i/>
          <w:iCs/>
        </w:rPr>
        <w:t>Australian Code for the Responsible Conduct of Research</w:t>
      </w:r>
      <w:r w:rsidR="00D41CE6" w:rsidRPr="00D41CE6">
        <w:t xml:space="preserve"> and the codes, guidelines, practices and policies on the </w:t>
      </w:r>
      <w:hyperlink r:id="rId8" w:history="1">
        <w:r w:rsidR="00D41CE6" w:rsidRPr="00D41CE6">
          <w:rPr>
            <w:rStyle w:val="Hyperlink"/>
            <w:rFonts w:asciiTheme="minorHAnsi" w:hAnsiTheme="minorHAnsi" w:cstheme="minorBidi"/>
          </w:rPr>
          <w:t>ARC website</w:t>
        </w:r>
      </w:hyperlink>
      <w:r w:rsidR="00D41CE6">
        <w:t>.</w:t>
      </w:r>
    </w:p>
    <w:p w14:paraId="11222880" w14:textId="22D3031A" w:rsidR="00743630" w:rsidRPr="00282BB9" w:rsidRDefault="00743630" w:rsidP="00F063DB">
      <w:pPr>
        <w:pStyle w:val="ListParagraph"/>
        <w:numPr>
          <w:ilvl w:val="0"/>
          <w:numId w:val="30"/>
        </w:numPr>
        <w:spacing w:before="120" w:after="120"/>
      </w:pPr>
      <w:r w:rsidRPr="00F063DB">
        <w:lastRenderedPageBreak/>
        <w:t>An ethics plan must be in place prior to the commencement of the project in line with the grant</w:t>
      </w:r>
      <w:r>
        <w:t xml:space="preserve"> agreement.</w:t>
      </w:r>
    </w:p>
    <w:p w14:paraId="32546EA2" w14:textId="1C28DE3A" w:rsidR="00D41CE6" w:rsidRDefault="00925542" w:rsidP="00BF33BB">
      <w:pPr>
        <w:pStyle w:val="ListParagraph"/>
        <w:numPr>
          <w:ilvl w:val="0"/>
          <w:numId w:val="30"/>
        </w:numPr>
        <w:spacing w:before="120" w:after="120"/>
      </w:pPr>
      <w:r w:rsidRPr="008B3E24">
        <w:t>A data management plan must be developed prior to the commencement of the project</w:t>
      </w:r>
      <w:r>
        <w:t xml:space="preserve"> in line with the grant agreement.</w:t>
      </w:r>
    </w:p>
    <w:p w14:paraId="66E21269" w14:textId="2F7F0B60" w:rsidR="00C01E4B" w:rsidRDefault="00925542" w:rsidP="00D6627A">
      <w:pPr>
        <w:spacing w:before="120" w:after="120"/>
        <w:ind w:left="720" w:firstLine="360"/>
      </w:pPr>
      <w:proofErr w:type="gramStart"/>
      <w:r w:rsidRPr="0027532E">
        <w:rPr>
          <w:u w:val="single"/>
        </w:rPr>
        <w:t>Guidelines</w:t>
      </w:r>
      <w:proofErr w:type="gramEnd"/>
      <w:r w:rsidRPr="0027532E">
        <w:rPr>
          <w:u w:val="single"/>
        </w:rPr>
        <w:t xml:space="preserve"> reference: </w:t>
      </w:r>
      <w:r w:rsidRPr="002E2391">
        <w:t>10.</w:t>
      </w:r>
      <w:r>
        <w:t>6-</w:t>
      </w:r>
      <w:r w:rsidR="009E0AF9">
        <w:t>10.10</w:t>
      </w:r>
    </w:p>
    <w:p w14:paraId="377977D9" w14:textId="47A67275" w:rsidR="00393961" w:rsidRPr="00393961" w:rsidRDefault="008E0784" w:rsidP="007B4D76">
      <w:pPr>
        <w:pStyle w:val="Heading3"/>
      </w:pPr>
      <w:r w:rsidRPr="00393961">
        <w:t>Definitions</w:t>
      </w:r>
    </w:p>
    <w:p w14:paraId="721BF7A8" w14:textId="16E1CB11" w:rsidR="00987C61" w:rsidRDefault="00987C61" w:rsidP="009C4D10">
      <w:pPr>
        <w:spacing w:before="120" w:after="120"/>
        <w:ind w:firstLine="360"/>
      </w:pPr>
      <w:r>
        <w:t xml:space="preserve">New </w:t>
      </w:r>
      <w:r w:rsidR="008E0784" w:rsidRPr="007266CF">
        <w:t>definition</w:t>
      </w:r>
      <w:r>
        <w:t>s have been added</w:t>
      </w:r>
      <w:r w:rsidR="009C4D10">
        <w:t>:</w:t>
      </w:r>
    </w:p>
    <w:p w14:paraId="5373AA32" w14:textId="77777777" w:rsidR="00BF5BFD" w:rsidRDefault="00BF5BFD" w:rsidP="00D01E91">
      <w:pPr>
        <w:pStyle w:val="ListParagraph"/>
        <w:numPr>
          <w:ilvl w:val="0"/>
          <w:numId w:val="30"/>
        </w:numPr>
        <w:spacing w:before="120" w:after="120"/>
      </w:pPr>
      <w:r w:rsidRPr="00E27A35">
        <w:t>assessment round</w:t>
      </w:r>
    </w:p>
    <w:p w14:paraId="6E967338" w14:textId="77777777" w:rsidR="00975FB0" w:rsidRDefault="00975FB0" w:rsidP="00D01E91">
      <w:pPr>
        <w:pStyle w:val="ListParagraph"/>
        <w:numPr>
          <w:ilvl w:val="0"/>
          <w:numId w:val="30"/>
        </w:numPr>
        <w:spacing w:before="120" w:after="120"/>
      </w:pPr>
      <w:r w:rsidRPr="00E27A35">
        <w:t>Australian Government priority areas</w:t>
      </w:r>
      <w:r w:rsidRPr="007266CF">
        <w:t xml:space="preserve"> </w:t>
      </w:r>
    </w:p>
    <w:p w14:paraId="53FB7F6C" w14:textId="77777777" w:rsidR="00BF5BFD" w:rsidRDefault="00BF5BFD" w:rsidP="00D01E91">
      <w:pPr>
        <w:pStyle w:val="ListParagraph"/>
        <w:numPr>
          <w:ilvl w:val="0"/>
          <w:numId w:val="30"/>
        </w:numPr>
        <w:spacing w:before="120" w:after="120"/>
      </w:pPr>
      <w:r>
        <w:t>e</w:t>
      </w:r>
      <w:r w:rsidRPr="00E27A35">
        <w:t>xempt Charity</w:t>
      </w:r>
    </w:p>
    <w:p w14:paraId="7A5A58C1" w14:textId="02A37F88" w:rsidR="00561120" w:rsidRDefault="00BF5BFD" w:rsidP="00D01E91">
      <w:pPr>
        <w:pStyle w:val="ListParagraph"/>
        <w:numPr>
          <w:ilvl w:val="0"/>
          <w:numId w:val="30"/>
        </w:numPr>
        <w:spacing w:before="120" w:after="120"/>
      </w:pPr>
      <w:r>
        <w:t>e</w:t>
      </w:r>
      <w:r w:rsidRPr="00E27A35">
        <w:t>xempt Non-Profit Organisation</w:t>
      </w:r>
      <w:r w:rsidRPr="007266CF">
        <w:t xml:space="preserve"> </w:t>
      </w:r>
    </w:p>
    <w:p w14:paraId="6C896831" w14:textId="681C083A" w:rsidR="00BF5BFD" w:rsidRDefault="00BF5BFD" w:rsidP="00D01E91">
      <w:pPr>
        <w:pStyle w:val="ListParagraph"/>
        <w:numPr>
          <w:ilvl w:val="0"/>
          <w:numId w:val="30"/>
        </w:numPr>
        <w:spacing w:before="120" w:after="120"/>
      </w:pPr>
      <w:r>
        <w:t>grant opportunity</w:t>
      </w:r>
    </w:p>
    <w:p w14:paraId="1674983A" w14:textId="1256601B" w:rsidR="00931907" w:rsidRPr="00E27A35" w:rsidRDefault="00931907" w:rsidP="00D01E91">
      <w:pPr>
        <w:pStyle w:val="ListParagraph"/>
        <w:numPr>
          <w:ilvl w:val="0"/>
          <w:numId w:val="30"/>
        </w:numPr>
        <w:spacing w:before="120" w:after="120"/>
      </w:pPr>
      <w:r>
        <w:t>National Manufacturing Priorities</w:t>
      </w:r>
    </w:p>
    <w:p w14:paraId="3367B795" w14:textId="77777777" w:rsidR="0020786C" w:rsidRDefault="00561120" w:rsidP="0020786C">
      <w:pPr>
        <w:pStyle w:val="ListParagraph"/>
        <w:numPr>
          <w:ilvl w:val="0"/>
          <w:numId w:val="30"/>
        </w:numPr>
        <w:spacing w:before="120" w:after="120"/>
      </w:pPr>
      <w:r>
        <w:t>preprints</w:t>
      </w:r>
    </w:p>
    <w:p w14:paraId="24B2E07A" w14:textId="77777777" w:rsidR="0020786C" w:rsidRDefault="00A648C4" w:rsidP="0020786C">
      <w:pPr>
        <w:pStyle w:val="ListParagraph"/>
        <w:numPr>
          <w:ilvl w:val="0"/>
          <w:numId w:val="30"/>
        </w:numPr>
        <w:spacing w:before="120" w:after="120"/>
      </w:pPr>
      <w:r w:rsidRPr="007266CF">
        <w:t>research outputs</w:t>
      </w:r>
      <w:r w:rsidDel="00BF5BFD">
        <w:t xml:space="preserve"> </w:t>
      </w:r>
    </w:p>
    <w:p w14:paraId="16AC87A8" w14:textId="2CFA9856" w:rsidR="001C7D20" w:rsidRPr="0020786C" w:rsidRDefault="00320074" w:rsidP="0020786C">
      <w:pPr>
        <w:spacing w:before="120" w:after="120"/>
        <w:ind w:left="720" w:firstLine="360"/>
      </w:pPr>
      <w:proofErr w:type="gramStart"/>
      <w:r w:rsidRPr="0020786C">
        <w:rPr>
          <w:u w:val="single"/>
        </w:rPr>
        <w:t>Guidelines</w:t>
      </w:r>
      <w:proofErr w:type="gramEnd"/>
      <w:r w:rsidRPr="0020786C">
        <w:rPr>
          <w:u w:val="single"/>
        </w:rPr>
        <w:t xml:space="preserve"> reference</w:t>
      </w:r>
      <w:r w:rsidRPr="00E27A35">
        <w:t>: 15.2</w:t>
      </w:r>
    </w:p>
    <w:p w14:paraId="73A7F5C8" w14:textId="77777777" w:rsidR="003477BA" w:rsidRPr="0020786C" w:rsidRDefault="003477BA">
      <w:pPr>
        <w:spacing w:before="120" w:after="120"/>
        <w:ind w:left="720" w:firstLine="360"/>
      </w:pPr>
    </w:p>
    <w:sectPr w:rsidR="003477BA" w:rsidRPr="0020786C" w:rsidSect="008350C8">
      <w:footerReference w:type="default" r:id="rId9"/>
      <w:headerReference w:type="first" r:id="rId10"/>
      <w:pgSz w:w="11906" w:h="16838" w:code="9"/>
      <w:pgMar w:top="1440" w:right="1080" w:bottom="1440" w:left="1080" w:header="284" w:footer="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4DA1" w14:textId="77777777" w:rsidR="00F40279" w:rsidRDefault="00F40279" w:rsidP="00E54EA1">
      <w:pPr>
        <w:spacing w:after="0" w:line="240" w:lineRule="auto"/>
      </w:pPr>
      <w:r>
        <w:separator/>
      </w:r>
    </w:p>
  </w:endnote>
  <w:endnote w:type="continuationSeparator" w:id="0">
    <w:p w14:paraId="7F13FE0A" w14:textId="77777777" w:rsidR="00F40279" w:rsidRDefault="00F40279" w:rsidP="00E54EA1">
      <w:pPr>
        <w:spacing w:after="0" w:line="240" w:lineRule="auto"/>
      </w:pPr>
      <w:r>
        <w:continuationSeparator/>
      </w:r>
    </w:p>
  </w:endnote>
  <w:endnote w:type="continuationNotice" w:id="1">
    <w:p w14:paraId="227AA95E" w14:textId="77777777" w:rsidR="00F40279" w:rsidRDefault="00F4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546548"/>
      <w:docPartObj>
        <w:docPartGallery w:val="Page Numbers (Bottom of Page)"/>
        <w:docPartUnique/>
      </w:docPartObj>
    </w:sdtPr>
    <w:sdtEndPr/>
    <w:sdtContent>
      <w:sdt>
        <w:sdtPr>
          <w:id w:val="-1769616900"/>
          <w:docPartObj>
            <w:docPartGallery w:val="Page Numbers (Top of Page)"/>
            <w:docPartUnique/>
          </w:docPartObj>
        </w:sdtPr>
        <w:sdtEndPr/>
        <w:sdtContent>
          <w:p w14:paraId="51F9B5FD" w14:textId="0B1C14DE" w:rsidR="00DE6DB3" w:rsidRDefault="00DE6DB3" w:rsidP="008350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E185" w14:textId="77777777" w:rsidR="00F40279" w:rsidRDefault="00F40279" w:rsidP="00E54EA1">
      <w:pPr>
        <w:spacing w:after="0" w:line="240" w:lineRule="auto"/>
      </w:pPr>
      <w:r>
        <w:separator/>
      </w:r>
    </w:p>
  </w:footnote>
  <w:footnote w:type="continuationSeparator" w:id="0">
    <w:p w14:paraId="2EEDEE75" w14:textId="77777777" w:rsidR="00F40279" w:rsidRDefault="00F40279" w:rsidP="00E54EA1">
      <w:pPr>
        <w:spacing w:after="0" w:line="240" w:lineRule="auto"/>
      </w:pPr>
      <w:r>
        <w:continuationSeparator/>
      </w:r>
    </w:p>
  </w:footnote>
  <w:footnote w:type="continuationNotice" w:id="1">
    <w:p w14:paraId="0B3CA952" w14:textId="77777777" w:rsidR="00F40279" w:rsidRDefault="00F40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9913" w14:textId="5F54DDBA" w:rsidR="00303D59" w:rsidRDefault="00303D59">
    <w:pPr>
      <w:pStyle w:val="Header"/>
    </w:pPr>
    <w:r w:rsidRPr="009B48A9">
      <w:rPr>
        <w:rFonts w:cstheme="minorHAnsi"/>
        <w:sz w:val="28"/>
        <w:szCs w:val="28"/>
      </w:rPr>
      <w:t xml:space="preserve">Changes to the Linkage Program Grant Guidelines </w:t>
    </w:r>
    <w:r w:rsidRPr="009B48A9">
      <w:rPr>
        <w:rFonts w:cstheme="minorHAnsi"/>
        <w:b/>
        <w:bCs/>
        <w:sz w:val="28"/>
        <w:szCs w:val="28"/>
      </w:rPr>
      <w:t>ARC Centres of Excellence</w:t>
    </w:r>
    <w:r w:rsidRPr="009B48A9">
      <w:rPr>
        <w:rFonts w:cstheme="minorHAnsi"/>
        <w:sz w:val="28"/>
        <w:szCs w:val="28"/>
      </w:rPr>
      <w:t xml:space="preserve"> commencing 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35"/>
    <w:multiLevelType w:val="hybridMultilevel"/>
    <w:tmpl w:val="3CFAD150"/>
    <w:lvl w:ilvl="0" w:tplc="7B06241C">
      <w:start w:val="1"/>
      <w:numFmt w:val="lowerRoman"/>
      <w:lvlText w:val="%1."/>
      <w:lvlJc w:val="left"/>
      <w:pPr>
        <w:ind w:left="1080" w:hanging="72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45BC"/>
    <w:multiLevelType w:val="hybridMultilevel"/>
    <w:tmpl w:val="00065E68"/>
    <w:lvl w:ilvl="0" w:tplc="A8E85B5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F42B5"/>
    <w:multiLevelType w:val="hybridMultilevel"/>
    <w:tmpl w:val="513E0E8A"/>
    <w:lvl w:ilvl="0" w:tplc="0BB69FC4">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FE097D"/>
    <w:multiLevelType w:val="hybridMultilevel"/>
    <w:tmpl w:val="643229CE"/>
    <w:lvl w:ilvl="0" w:tplc="FE9424E6">
      <w:numFmt w:val="bullet"/>
      <w:pStyle w:val="GGAssessmentCriteria-"/>
      <w:lvlText w:val="-"/>
      <w:lvlJc w:val="left"/>
      <w:pPr>
        <w:ind w:left="2034" w:hanging="360"/>
      </w:pPr>
      <w:rPr>
        <w:rFonts w:ascii="Calibri" w:eastAsiaTheme="minorHAnsi" w:hAnsi="Calibri" w:cs="Calibri" w:hint="default"/>
      </w:rPr>
    </w:lvl>
    <w:lvl w:ilvl="1" w:tplc="A294B5A0">
      <w:numFmt w:val="bullet"/>
      <w:lvlText w:val="-"/>
      <w:lvlJc w:val="left"/>
      <w:pPr>
        <w:ind w:left="2754" w:hanging="360"/>
      </w:pPr>
      <w:rPr>
        <w:rFonts w:ascii="Calibri" w:eastAsiaTheme="minorHAnsi" w:hAnsi="Calibri" w:cs="Calibri" w:hint="default"/>
        <w:b w:val="0"/>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4" w15:restartNumberingAfterBreak="0">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C46263F"/>
    <w:multiLevelType w:val="hybridMultilevel"/>
    <w:tmpl w:val="9BF0F3D2"/>
    <w:lvl w:ilvl="0" w:tplc="84C278C0">
      <w:start w:val="1"/>
      <w:numFmt w:val="lowerLetter"/>
      <w:lvlText w:val="%1."/>
      <w:lvlJc w:val="left"/>
      <w:pPr>
        <w:ind w:left="720" w:hanging="360"/>
      </w:pPr>
      <w:rPr>
        <w:rFonts w:hint="default"/>
        <w:i w:val="0"/>
        <w:i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91C39"/>
    <w:multiLevelType w:val="hybridMultilevel"/>
    <w:tmpl w:val="BD34218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1357CB0"/>
    <w:multiLevelType w:val="multilevel"/>
    <w:tmpl w:val="58C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37614138"/>
    <w:multiLevelType w:val="hybridMultilevel"/>
    <w:tmpl w:val="DCEE32B6"/>
    <w:lvl w:ilvl="0" w:tplc="DB98DAD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BA0009"/>
    <w:multiLevelType w:val="hybridMultilevel"/>
    <w:tmpl w:val="CA76A056"/>
    <w:lvl w:ilvl="0" w:tplc="1F80D108">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615DC9"/>
    <w:multiLevelType w:val="hybridMultilevel"/>
    <w:tmpl w:val="AE7689E6"/>
    <w:lvl w:ilvl="0" w:tplc="D54EC308">
      <w:start w:val="1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880F89"/>
    <w:multiLevelType w:val="hybridMultilevel"/>
    <w:tmpl w:val="7252425A"/>
    <w:lvl w:ilvl="0" w:tplc="B87018B6">
      <w:start w:val="1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4" w15:restartNumberingAfterBreak="0">
    <w:nsid w:val="4F3F6DE4"/>
    <w:multiLevelType w:val="hybridMultilevel"/>
    <w:tmpl w:val="EF6CC35E"/>
    <w:lvl w:ilvl="0" w:tplc="A43C0340">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9484A"/>
    <w:multiLevelType w:val="hybridMultilevel"/>
    <w:tmpl w:val="08469F0C"/>
    <w:lvl w:ilvl="0" w:tplc="32BE0F54">
      <w:start w:val="1"/>
      <w:numFmt w:val="lowerLetter"/>
      <w:pStyle w:val="GrantGuidelinesDotPoints"/>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AB4CCB"/>
    <w:multiLevelType w:val="multilevel"/>
    <w:tmpl w:val="7BD61E54"/>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7" w15:restartNumberingAfterBreak="0">
    <w:nsid w:val="5B1B7426"/>
    <w:multiLevelType w:val="hybridMultilevel"/>
    <w:tmpl w:val="BD34218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AD16E8"/>
    <w:multiLevelType w:val="hybridMultilevel"/>
    <w:tmpl w:val="450C3BC8"/>
    <w:lvl w:ilvl="0" w:tplc="EE26CC90">
      <w:start w:val="1"/>
      <w:numFmt w:val="lowerLetter"/>
      <w:pStyle w:val="GrantGuidelinesaPoints"/>
      <w:lvlText w:val="%1."/>
      <w:lvlJc w:val="left"/>
      <w:pPr>
        <w:ind w:left="108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314" w:hanging="360"/>
      </w:pPr>
      <w:rPr>
        <w:rFonts w:ascii="Times New Roman" w:eastAsia="Times New Roman" w:hAnsi="Times New Roman" w:hint="default"/>
      </w:rPr>
    </w:lvl>
    <w:lvl w:ilvl="2" w:tplc="0C09001B">
      <w:start w:val="1"/>
      <w:numFmt w:val="lowerRoman"/>
      <w:lvlText w:val="%3."/>
      <w:lvlJc w:val="right"/>
      <w:pPr>
        <w:ind w:left="3034" w:hanging="180"/>
      </w:pPr>
    </w:lvl>
    <w:lvl w:ilvl="3" w:tplc="0C09000F" w:tentative="1">
      <w:start w:val="1"/>
      <w:numFmt w:val="decimal"/>
      <w:lvlText w:val="%4."/>
      <w:lvlJc w:val="left"/>
      <w:pPr>
        <w:ind w:left="3754" w:hanging="360"/>
      </w:pPr>
    </w:lvl>
    <w:lvl w:ilvl="4" w:tplc="0C090019" w:tentative="1">
      <w:start w:val="1"/>
      <w:numFmt w:val="lowerLetter"/>
      <w:lvlText w:val="%5."/>
      <w:lvlJc w:val="left"/>
      <w:pPr>
        <w:ind w:left="4474" w:hanging="360"/>
      </w:pPr>
    </w:lvl>
    <w:lvl w:ilvl="5" w:tplc="0C09001B" w:tentative="1">
      <w:start w:val="1"/>
      <w:numFmt w:val="lowerRoman"/>
      <w:lvlText w:val="%6."/>
      <w:lvlJc w:val="right"/>
      <w:pPr>
        <w:ind w:left="5194" w:hanging="180"/>
      </w:pPr>
    </w:lvl>
    <w:lvl w:ilvl="6" w:tplc="0C09000F" w:tentative="1">
      <w:start w:val="1"/>
      <w:numFmt w:val="decimal"/>
      <w:lvlText w:val="%7."/>
      <w:lvlJc w:val="left"/>
      <w:pPr>
        <w:ind w:left="5914" w:hanging="360"/>
      </w:pPr>
    </w:lvl>
    <w:lvl w:ilvl="7" w:tplc="0C090019" w:tentative="1">
      <w:start w:val="1"/>
      <w:numFmt w:val="lowerLetter"/>
      <w:lvlText w:val="%8."/>
      <w:lvlJc w:val="left"/>
      <w:pPr>
        <w:ind w:left="6634" w:hanging="360"/>
      </w:pPr>
    </w:lvl>
    <w:lvl w:ilvl="8" w:tplc="0C09001B" w:tentative="1">
      <w:start w:val="1"/>
      <w:numFmt w:val="lowerRoman"/>
      <w:lvlText w:val="%9."/>
      <w:lvlJc w:val="right"/>
      <w:pPr>
        <w:ind w:left="7354" w:hanging="180"/>
      </w:pPr>
    </w:lvl>
  </w:abstractNum>
  <w:abstractNum w:abstractNumId="19" w15:restartNumberingAfterBreak="0">
    <w:nsid w:val="65006E3A"/>
    <w:multiLevelType w:val="hybridMultilevel"/>
    <w:tmpl w:val="3946A364"/>
    <w:lvl w:ilvl="0" w:tplc="A19A0FF6">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78147F"/>
    <w:multiLevelType w:val="hybridMultilevel"/>
    <w:tmpl w:val="56BCE204"/>
    <w:lvl w:ilvl="0" w:tplc="43B295DA">
      <w:start w:val="1"/>
      <w:numFmt w:val="decimal"/>
      <w:pStyle w:val="NumberSubhead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F61742"/>
    <w:multiLevelType w:val="hybridMultilevel"/>
    <w:tmpl w:val="5BE860AE"/>
    <w:lvl w:ilvl="0" w:tplc="92F40792">
      <w:start w:val="1"/>
      <w:numFmt w:val="decimal"/>
      <w:pStyle w:val="Heading3"/>
      <w:lvlText w:val="%1."/>
      <w:lvlJc w:val="left"/>
      <w:pPr>
        <w:ind w:left="720" w:hanging="360"/>
      </w:pPr>
      <w:rPr>
        <w:rFonts w:ascii="Calibri" w:hAnsi="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87318F"/>
    <w:multiLevelType w:val="hybridMultilevel"/>
    <w:tmpl w:val="E272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953F53"/>
    <w:multiLevelType w:val="hybridMultilevel"/>
    <w:tmpl w:val="E0C2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F4821"/>
    <w:multiLevelType w:val="hybridMultilevel"/>
    <w:tmpl w:val="A1EA042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4"/>
  </w:num>
  <w:num w:numId="3">
    <w:abstractNumId w:val="23"/>
  </w:num>
  <w:num w:numId="4">
    <w:abstractNumId w:val="22"/>
  </w:num>
  <w:num w:numId="5">
    <w:abstractNumId w:val="8"/>
  </w:num>
  <w:num w:numId="6">
    <w:abstractNumId w:val="3"/>
  </w:num>
  <w:num w:numId="7">
    <w:abstractNumId w:val="18"/>
  </w:num>
  <w:num w:numId="8">
    <w:abstractNumId w:val="18"/>
    <w:lvlOverride w:ilvl="0">
      <w:startOverride w:val="1"/>
    </w:lvlOverride>
  </w:num>
  <w:num w:numId="9">
    <w:abstractNumId w:val="4"/>
  </w:num>
  <w:num w:numId="10">
    <w:abstractNumId w:val="8"/>
  </w:num>
  <w:num w:numId="11">
    <w:abstractNumId w:val="6"/>
  </w:num>
  <w:num w:numId="12">
    <w:abstractNumId w:val="19"/>
  </w:num>
  <w:num w:numId="13">
    <w:abstractNumId w:val="2"/>
  </w:num>
  <w:num w:numId="14">
    <w:abstractNumId w:val="10"/>
  </w:num>
  <w:num w:numId="15">
    <w:abstractNumId w:val="5"/>
  </w:num>
  <w:num w:numId="16">
    <w:abstractNumId w:val="15"/>
    <w:lvlOverride w:ilvl="0">
      <w:startOverride w:val="1"/>
    </w:lvlOverride>
  </w:num>
  <w:num w:numId="17">
    <w:abstractNumId w:val="15"/>
  </w:num>
  <w:num w:numId="18">
    <w:abstractNumId w:val="17"/>
  </w:num>
  <w:num w:numId="19">
    <w:abstractNumId w:val="0"/>
  </w:num>
  <w:num w:numId="20">
    <w:abstractNumId w:val="14"/>
  </w:num>
  <w:num w:numId="21">
    <w:abstractNumId w:val="14"/>
    <w:lvlOverride w:ilvl="0">
      <w:startOverride w:val="1"/>
    </w:lvlOverride>
  </w:num>
  <w:num w:numId="22">
    <w:abstractNumId w:val="16"/>
  </w:num>
  <w:num w:numId="23">
    <w:abstractNumId w:val="11"/>
  </w:num>
  <w:num w:numId="24">
    <w:abstractNumId w:val="9"/>
  </w:num>
  <w:num w:numId="25">
    <w:abstractNumId w:val="14"/>
    <w:lvlOverride w:ilvl="0">
      <w:startOverride w:val="1"/>
    </w:lvlOverride>
  </w:num>
  <w:num w:numId="26">
    <w:abstractNumId w:val="14"/>
  </w:num>
  <w:num w:numId="27">
    <w:abstractNumId w:val="14"/>
    <w:lvlOverride w:ilvl="0">
      <w:startOverride w:val="1"/>
    </w:lvlOverride>
  </w:num>
  <w:num w:numId="28">
    <w:abstractNumId w:val="1"/>
  </w:num>
  <w:num w:numId="29">
    <w:abstractNumId w:val="21"/>
  </w:num>
  <w:num w:numId="30">
    <w:abstractNumId w:val="12"/>
  </w:num>
  <w:num w:numId="31">
    <w:abstractNumId w:val="13"/>
  </w:num>
  <w:num w:numId="32">
    <w:abstractNumId w:val="20"/>
  </w:num>
  <w:num w:numId="33">
    <w:abstractNumId w:val="21"/>
  </w:num>
  <w:num w:numId="34">
    <w:abstractNumId w:val="21"/>
  </w:num>
  <w:num w:numId="35">
    <w:abstractNumId w:val="21"/>
  </w:num>
  <w:num w:numId="36">
    <w:abstractNumId w:val="12"/>
  </w:num>
  <w:num w:numId="37">
    <w:abstractNumId w:val="12"/>
  </w:num>
  <w:num w:numId="38">
    <w:abstractNumId w:val="12"/>
  </w:num>
  <w:num w:numId="39">
    <w:abstractNumId w:val="21"/>
  </w:num>
  <w:num w:numId="40">
    <w:abstractNumId w:val="2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F9"/>
    <w:rsid w:val="00000CCE"/>
    <w:rsid w:val="00001CD2"/>
    <w:rsid w:val="00002CA1"/>
    <w:rsid w:val="000039B0"/>
    <w:rsid w:val="00005F67"/>
    <w:rsid w:val="000060AE"/>
    <w:rsid w:val="00006D01"/>
    <w:rsid w:val="00017CF6"/>
    <w:rsid w:val="0002089F"/>
    <w:rsid w:val="00020F96"/>
    <w:rsid w:val="0002264E"/>
    <w:rsid w:val="00023C36"/>
    <w:rsid w:val="00023EC0"/>
    <w:rsid w:val="00025A0B"/>
    <w:rsid w:val="0003059F"/>
    <w:rsid w:val="000309D1"/>
    <w:rsid w:val="0003201D"/>
    <w:rsid w:val="00032022"/>
    <w:rsid w:val="0003249A"/>
    <w:rsid w:val="000344E1"/>
    <w:rsid w:val="00035E86"/>
    <w:rsid w:val="000362B6"/>
    <w:rsid w:val="00040615"/>
    <w:rsid w:val="00043465"/>
    <w:rsid w:val="00043C72"/>
    <w:rsid w:val="000468FF"/>
    <w:rsid w:val="000505E0"/>
    <w:rsid w:val="00053022"/>
    <w:rsid w:val="00053807"/>
    <w:rsid w:val="00054EB4"/>
    <w:rsid w:val="000555C4"/>
    <w:rsid w:val="00055C09"/>
    <w:rsid w:val="00056854"/>
    <w:rsid w:val="00061498"/>
    <w:rsid w:val="00062E24"/>
    <w:rsid w:val="000711DF"/>
    <w:rsid w:val="000714A4"/>
    <w:rsid w:val="0008051D"/>
    <w:rsid w:val="0008079D"/>
    <w:rsid w:val="00081944"/>
    <w:rsid w:val="00081B18"/>
    <w:rsid w:val="000841AF"/>
    <w:rsid w:val="00085291"/>
    <w:rsid w:val="0008562E"/>
    <w:rsid w:val="000921B9"/>
    <w:rsid w:val="00092A9B"/>
    <w:rsid w:val="0009390B"/>
    <w:rsid w:val="00093B52"/>
    <w:rsid w:val="00093D51"/>
    <w:rsid w:val="000956FC"/>
    <w:rsid w:val="00097280"/>
    <w:rsid w:val="00097F96"/>
    <w:rsid w:val="000A0865"/>
    <w:rsid w:val="000A0AB8"/>
    <w:rsid w:val="000A1F3A"/>
    <w:rsid w:val="000A33FF"/>
    <w:rsid w:val="000A6273"/>
    <w:rsid w:val="000A776A"/>
    <w:rsid w:val="000B326F"/>
    <w:rsid w:val="000B395A"/>
    <w:rsid w:val="000C26C7"/>
    <w:rsid w:val="000C46D5"/>
    <w:rsid w:val="000D0FCD"/>
    <w:rsid w:val="000D1482"/>
    <w:rsid w:val="000D38CE"/>
    <w:rsid w:val="000D44AF"/>
    <w:rsid w:val="000D5131"/>
    <w:rsid w:val="000D6613"/>
    <w:rsid w:val="000D7EB8"/>
    <w:rsid w:val="000E26DA"/>
    <w:rsid w:val="000E3A88"/>
    <w:rsid w:val="000E3B0E"/>
    <w:rsid w:val="000E420A"/>
    <w:rsid w:val="000E5746"/>
    <w:rsid w:val="000E69E6"/>
    <w:rsid w:val="000E701D"/>
    <w:rsid w:val="000E7E3F"/>
    <w:rsid w:val="000F0461"/>
    <w:rsid w:val="000F1056"/>
    <w:rsid w:val="000F1E70"/>
    <w:rsid w:val="000F3398"/>
    <w:rsid w:val="000F72F4"/>
    <w:rsid w:val="00105B52"/>
    <w:rsid w:val="001073D8"/>
    <w:rsid w:val="001077F8"/>
    <w:rsid w:val="0011064B"/>
    <w:rsid w:val="00111218"/>
    <w:rsid w:val="00112294"/>
    <w:rsid w:val="0011345E"/>
    <w:rsid w:val="001176A1"/>
    <w:rsid w:val="001207D6"/>
    <w:rsid w:val="00122C79"/>
    <w:rsid w:val="00123D98"/>
    <w:rsid w:val="0012473F"/>
    <w:rsid w:val="00124A66"/>
    <w:rsid w:val="00124A69"/>
    <w:rsid w:val="0013191C"/>
    <w:rsid w:val="001323A4"/>
    <w:rsid w:val="00132747"/>
    <w:rsid w:val="001344AA"/>
    <w:rsid w:val="00135299"/>
    <w:rsid w:val="001355C5"/>
    <w:rsid w:val="00137234"/>
    <w:rsid w:val="00137437"/>
    <w:rsid w:val="00145C4B"/>
    <w:rsid w:val="0015067E"/>
    <w:rsid w:val="001524A3"/>
    <w:rsid w:val="00154676"/>
    <w:rsid w:val="00154865"/>
    <w:rsid w:val="00155F3A"/>
    <w:rsid w:val="00156AD3"/>
    <w:rsid w:val="0016528E"/>
    <w:rsid w:val="00171CD7"/>
    <w:rsid w:val="00171F38"/>
    <w:rsid w:val="00175DF3"/>
    <w:rsid w:val="0018008C"/>
    <w:rsid w:val="001928A4"/>
    <w:rsid w:val="001934E0"/>
    <w:rsid w:val="00195EBE"/>
    <w:rsid w:val="00196FAC"/>
    <w:rsid w:val="001A0555"/>
    <w:rsid w:val="001A0696"/>
    <w:rsid w:val="001A328F"/>
    <w:rsid w:val="001A6328"/>
    <w:rsid w:val="001A6C9D"/>
    <w:rsid w:val="001B1F32"/>
    <w:rsid w:val="001B3E7D"/>
    <w:rsid w:val="001B4203"/>
    <w:rsid w:val="001C18F9"/>
    <w:rsid w:val="001C4A2E"/>
    <w:rsid w:val="001C70B2"/>
    <w:rsid w:val="001C7D20"/>
    <w:rsid w:val="001D0ECE"/>
    <w:rsid w:val="001D1314"/>
    <w:rsid w:val="001D60A6"/>
    <w:rsid w:val="001D7C83"/>
    <w:rsid w:val="001E5F0E"/>
    <w:rsid w:val="001F025A"/>
    <w:rsid w:val="001F0A01"/>
    <w:rsid w:val="001F209A"/>
    <w:rsid w:val="001F54E4"/>
    <w:rsid w:val="001F62F6"/>
    <w:rsid w:val="001F7A9A"/>
    <w:rsid w:val="001F7C16"/>
    <w:rsid w:val="00200B35"/>
    <w:rsid w:val="00201410"/>
    <w:rsid w:val="00202616"/>
    <w:rsid w:val="00203265"/>
    <w:rsid w:val="00203CDB"/>
    <w:rsid w:val="00205D80"/>
    <w:rsid w:val="0020648E"/>
    <w:rsid w:val="0020786C"/>
    <w:rsid w:val="00210F65"/>
    <w:rsid w:val="00213CF0"/>
    <w:rsid w:val="002143C1"/>
    <w:rsid w:val="00214FBF"/>
    <w:rsid w:val="002167E1"/>
    <w:rsid w:val="00216B69"/>
    <w:rsid w:val="00220AE6"/>
    <w:rsid w:val="00222EFF"/>
    <w:rsid w:val="002230F7"/>
    <w:rsid w:val="00225709"/>
    <w:rsid w:val="0022699F"/>
    <w:rsid w:val="002300B2"/>
    <w:rsid w:val="0023341A"/>
    <w:rsid w:val="00233949"/>
    <w:rsid w:val="00233A48"/>
    <w:rsid w:val="00233D14"/>
    <w:rsid w:val="00235080"/>
    <w:rsid w:val="002354D4"/>
    <w:rsid w:val="002358C3"/>
    <w:rsid w:val="002379C3"/>
    <w:rsid w:val="00240C76"/>
    <w:rsid w:val="00245E8D"/>
    <w:rsid w:val="00247124"/>
    <w:rsid w:val="00247FBF"/>
    <w:rsid w:val="00250468"/>
    <w:rsid w:val="002510A7"/>
    <w:rsid w:val="00252959"/>
    <w:rsid w:val="00254635"/>
    <w:rsid w:val="00254C2F"/>
    <w:rsid w:val="00255AE2"/>
    <w:rsid w:val="00256E03"/>
    <w:rsid w:val="00260B8F"/>
    <w:rsid w:val="00262CEF"/>
    <w:rsid w:val="00263F89"/>
    <w:rsid w:val="002664E1"/>
    <w:rsid w:val="00266F1A"/>
    <w:rsid w:val="00267621"/>
    <w:rsid w:val="00270FAC"/>
    <w:rsid w:val="00271C7E"/>
    <w:rsid w:val="00271E1D"/>
    <w:rsid w:val="00272320"/>
    <w:rsid w:val="00274831"/>
    <w:rsid w:val="0027532E"/>
    <w:rsid w:val="002757E8"/>
    <w:rsid w:val="00282D34"/>
    <w:rsid w:val="00285E00"/>
    <w:rsid w:val="002903B9"/>
    <w:rsid w:val="002909D3"/>
    <w:rsid w:val="0029281D"/>
    <w:rsid w:val="00292FF8"/>
    <w:rsid w:val="00293DBF"/>
    <w:rsid w:val="0029526D"/>
    <w:rsid w:val="00297A16"/>
    <w:rsid w:val="002A1BAB"/>
    <w:rsid w:val="002A2206"/>
    <w:rsid w:val="002A2975"/>
    <w:rsid w:val="002A4BD9"/>
    <w:rsid w:val="002A53C9"/>
    <w:rsid w:val="002B1177"/>
    <w:rsid w:val="002B6070"/>
    <w:rsid w:val="002B6A01"/>
    <w:rsid w:val="002B7882"/>
    <w:rsid w:val="002B79FF"/>
    <w:rsid w:val="002C1771"/>
    <w:rsid w:val="002C1A17"/>
    <w:rsid w:val="002C224A"/>
    <w:rsid w:val="002C3AF9"/>
    <w:rsid w:val="002C75C5"/>
    <w:rsid w:val="002D2156"/>
    <w:rsid w:val="002D37E1"/>
    <w:rsid w:val="002D395A"/>
    <w:rsid w:val="002D6C2F"/>
    <w:rsid w:val="002D6EE0"/>
    <w:rsid w:val="002E2391"/>
    <w:rsid w:val="002E3137"/>
    <w:rsid w:val="00300C79"/>
    <w:rsid w:val="00303D59"/>
    <w:rsid w:val="003056B0"/>
    <w:rsid w:val="003113FD"/>
    <w:rsid w:val="00313C9A"/>
    <w:rsid w:val="00314464"/>
    <w:rsid w:val="003148B1"/>
    <w:rsid w:val="00320074"/>
    <w:rsid w:val="00320AF2"/>
    <w:rsid w:val="0032109B"/>
    <w:rsid w:val="0032191E"/>
    <w:rsid w:val="0032328D"/>
    <w:rsid w:val="00324443"/>
    <w:rsid w:val="003300F2"/>
    <w:rsid w:val="00333850"/>
    <w:rsid w:val="00333BBB"/>
    <w:rsid w:val="00334106"/>
    <w:rsid w:val="0033759B"/>
    <w:rsid w:val="00337B8E"/>
    <w:rsid w:val="00340184"/>
    <w:rsid w:val="00341CC5"/>
    <w:rsid w:val="00344961"/>
    <w:rsid w:val="00345F6D"/>
    <w:rsid w:val="003477BA"/>
    <w:rsid w:val="00352DF3"/>
    <w:rsid w:val="0035695E"/>
    <w:rsid w:val="00360B35"/>
    <w:rsid w:val="003627D7"/>
    <w:rsid w:val="0036294C"/>
    <w:rsid w:val="003644C6"/>
    <w:rsid w:val="003649BB"/>
    <w:rsid w:val="00365A20"/>
    <w:rsid w:val="0037170F"/>
    <w:rsid w:val="00374985"/>
    <w:rsid w:val="00374B62"/>
    <w:rsid w:val="00375D3B"/>
    <w:rsid w:val="00383A89"/>
    <w:rsid w:val="00384039"/>
    <w:rsid w:val="00386557"/>
    <w:rsid w:val="00391A42"/>
    <w:rsid w:val="00392F89"/>
    <w:rsid w:val="003938DF"/>
    <w:rsid w:val="00393961"/>
    <w:rsid w:val="0039441F"/>
    <w:rsid w:val="003966B9"/>
    <w:rsid w:val="003966F7"/>
    <w:rsid w:val="003A37FB"/>
    <w:rsid w:val="003A5135"/>
    <w:rsid w:val="003A68B3"/>
    <w:rsid w:val="003A6BC0"/>
    <w:rsid w:val="003A7EF5"/>
    <w:rsid w:val="003B3436"/>
    <w:rsid w:val="003B5A76"/>
    <w:rsid w:val="003B78F6"/>
    <w:rsid w:val="003C00DC"/>
    <w:rsid w:val="003C23E5"/>
    <w:rsid w:val="003C2DAB"/>
    <w:rsid w:val="003C3B2D"/>
    <w:rsid w:val="003D2E8A"/>
    <w:rsid w:val="003D384E"/>
    <w:rsid w:val="003D4B0C"/>
    <w:rsid w:val="003D4C92"/>
    <w:rsid w:val="003D5B70"/>
    <w:rsid w:val="003D6C10"/>
    <w:rsid w:val="003D7573"/>
    <w:rsid w:val="003E16FC"/>
    <w:rsid w:val="003E3EA1"/>
    <w:rsid w:val="003E4482"/>
    <w:rsid w:val="003E690F"/>
    <w:rsid w:val="003E6DB6"/>
    <w:rsid w:val="003E7440"/>
    <w:rsid w:val="003F008F"/>
    <w:rsid w:val="003F1310"/>
    <w:rsid w:val="003F1C54"/>
    <w:rsid w:val="003F219E"/>
    <w:rsid w:val="003F6A2B"/>
    <w:rsid w:val="003F7099"/>
    <w:rsid w:val="004013D9"/>
    <w:rsid w:val="0040183C"/>
    <w:rsid w:val="00402895"/>
    <w:rsid w:val="004061B7"/>
    <w:rsid w:val="004067A9"/>
    <w:rsid w:val="0040706A"/>
    <w:rsid w:val="00407290"/>
    <w:rsid w:val="00411A07"/>
    <w:rsid w:val="00411D3C"/>
    <w:rsid w:val="00412252"/>
    <w:rsid w:val="00412263"/>
    <w:rsid w:val="004136ED"/>
    <w:rsid w:val="00413EA2"/>
    <w:rsid w:val="00415C3E"/>
    <w:rsid w:val="00416325"/>
    <w:rsid w:val="004222B2"/>
    <w:rsid w:val="00423036"/>
    <w:rsid w:val="004254AC"/>
    <w:rsid w:val="0042591F"/>
    <w:rsid w:val="00427140"/>
    <w:rsid w:val="00431E31"/>
    <w:rsid w:val="00435337"/>
    <w:rsid w:val="00435A3F"/>
    <w:rsid w:val="00437342"/>
    <w:rsid w:val="0044132D"/>
    <w:rsid w:val="00443A3C"/>
    <w:rsid w:val="004443AE"/>
    <w:rsid w:val="00446607"/>
    <w:rsid w:val="004501B8"/>
    <w:rsid w:val="0045035C"/>
    <w:rsid w:val="0045135F"/>
    <w:rsid w:val="004575E5"/>
    <w:rsid w:val="004606F9"/>
    <w:rsid w:val="00463908"/>
    <w:rsid w:val="00463E67"/>
    <w:rsid w:val="00470789"/>
    <w:rsid w:val="0047243F"/>
    <w:rsid w:val="00472A6B"/>
    <w:rsid w:val="00473BF2"/>
    <w:rsid w:val="00475095"/>
    <w:rsid w:val="0048161F"/>
    <w:rsid w:val="004825CF"/>
    <w:rsid w:val="00483859"/>
    <w:rsid w:val="00486156"/>
    <w:rsid w:val="00486C5E"/>
    <w:rsid w:val="00487F33"/>
    <w:rsid w:val="00490578"/>
    <w:rsid w:val="00491464"/>
    <w:rsid w:val="004A023C"/>
    <w:rsid w:val="004A0565"/>
    <w:rsid w:val="004A2E47"/>
    <w:rsid w:val="004A4EE4"/>
    <w:rsid w:val="004A54FB"/>
    <w:rsid w:val="004A7D00"/>
    <w:rsid w:val="004B06D3"/>
    <w:rsid w:val="004B0DC8"/>
    <w:rsid w:val="004B275C"/>
    <w:rsid w:val="004B296A"/>
    <w:rsid w:val="004B32C3"/>
    <w:rsid w:val="004B683B"/>
    <w:rsid w:val="004C1FBD"/>
    <w:rsid w:val="004C55A9"/>
    <w:rsid w:val="004C6DC6"/>
    <w:rsid w:val="004C705D"/>
    <w:rsid w:val="004C756A"/>
    <w:rsid w:val="004D193A"/>
    <w:rsid w:val="004D5454"/>
    <w:rsid w:val="004D63C9"/>
    <w:rsid w:val="004D67B5"/>
    <w:rsid w:val="004D77DC"/>
    <w:rsid w:val="004D7DF5"/>
    <w:rsid w:val="004E1C3B"/>
    <w:rsid w:val="004E227A"/>
    <w:rsid w:val="004E348C"/>
    <w:rsid w:val="004E5D98"/>
    <w:rsid w:val="004F00C2"/>
    <w:rsid w:val="004F0137"/>
    <w:rsid w:val="004F0E5E"/>
    <w:rsid w:val="004F16FE"/>
    <w:rsid w:val="004F18E5"/>
    <w:rsid w:val="004F1FC7"/>
    <w:rsid w:val="004F3009"/>
    <w:rsid w:val="004F3C54"/>
    <w:rsid w:val="004F7BE9"/>
    <w:rsid w:val="00503680"/>
    <w:rsid w:val="005036F6"/>
    <w:rsid w:val="005045D4"/>
    <w:rsid w:val="00506910"/>
    <w:rsid w:val="005162AD"/>
    <w:rsid w:val="00520733"/>
    <w:rsid w:val="005218AD"/>
    <w:rsid w:val="00521AEF"/>
    <w:rsid w:val="00522099"/>
    <w:rsid w:val="005277FB"/>
    <w:rsid w:val="00527D47"/>
    <w:rsid w:val="00531A2F"/>
    <w:rsid w:val="00535373"/>
    <w:rsid w:val="00540E30"/>
    <w:rsid w:val="00541AB1"/>
    <w:rsid w:val="00542FCB"/>
    <w:rsid w:val="00543B53"/>
    <w:rsid w:val="005448BB"/>
    <w:rsid w:val="005451E1"/>
    <w:rsid w:val="00547351"/>
    <w:rsid w:val="00550208"/>
    <w:rsid w:val="00552778"/>
    <w:rsid w:val="00553B43"/>
    <w:rsid w:val="005544B9"/>
    <w:rsid w:val="00555734"/>
    <w:rsid w:val="00555E0B"/>
    <w:rsid w:val="005573E5"/>
    <w:rsid w:val="00561120"/>
    <w:rsid w:val="00562944"/>
    <w:rsid w:val="00565117"/>
    <w:rsid w:val="005678CC"/>
    <w:rsid w:val="0057065A"/>
    <w:rsid w:val="00576B8C"/>
    <w:rsid w:val="00576CE7"/>
    <w:rsid w:val="0057781B"/>
    <w:rsid w:val="00577FE1"/>
    <w:rsid w:val="005810D4"/>
    <w:rsid w:val="00582B3A"/>
    <w:rsid w:val="00582F51"/>
    <w:rsid w:val="005876F7"/>
    <w:rsid w:val="00587EEC"/>
    <w:rsid w:val="005934F7"/>
    <w:rsid w:val="005955CB"/>
    <w:rsid w:val="00596B6C"/>
    <w:rsid w:val="005A051A"/>
    <w:rsid w:val="005A6CB7"/>
    <w:rsid w:val="005A6CC0"/>
    <w:rsid w:val="005A7AF1"/>
    <w:rsid w:val="005B26F0"/>
    <w:rsid w:val="005B2C44"/>
    <w:rsid w:val="005B53AF"/>
    <w:rsid w:val="005B5F64"/>
    <w:rsid w:val="005B6952"/>
    <w:rsid w:val="005C0FD7"/>
    <w:rsid w:val="005C2596"/>
    <w:rsid w:val="005C2E85"/>
    <w:rsid w:val="005C494E"/>
    <w:rsid w:val="005C4BB1"/>
    <w:rsid w:val="005C5F88"/>
    <w:rsid w:val="005C6D47"/>
    <w:rsid w:val="005C7F38"/>
    <w:rsid w:val="005D2F40"/>
    <w:rsid w:val="005D3CD3"/>
    <w:rsid w:val="005D4461"/>
    <w:rsid w:val="005D6966"/>
    <w:rsid w:val="005E6494"/>
    <w:rsid w:val="005E6C8F"/>
    <w:rsid w:val="005F009B"/>
    <w:rsid w:val="005F0341"/>
    <w:rsid w:val="005F0C1D"/>
    <w:rsid w:val="005F1BE3"/>
    <w:rsid w:val="005F1DBD"/>
    <w:rsid w:val="005F34C3"/>
    <w:rsid w:val="005F558A"/>
    <w:rsid w:val="005F6209"/>
    <w:rsid w:val="006001B8"/>
    <w:rsid w:val="00600AEA"/>
    <w:rsid w:val="006054EA"/>
    <w:rsid w:val="00611191"/>
    <w:rsid w:val="00615821"/>
    <w:rsid w:val="00615B20"/>
    <w:rsid w:val="006221B7"/>
    <w:rsid w:val="00623377"/>
    <w:rsid w:val="0062483C"/>
    <w:rsid w:val="00632A32"/>
    <w:rsid w:val="0063670F"/>
    <w:rsid w:val="00640A6E"/>
    <w:rsid w:val="00641160"/>
    <w:rsid w:val="00643BD2"/>
    <w:rsid w:val="00651E27"/>
    <w:rsid w:val="00654511"/>
    <w:rsid w:val="00655DB7"/>
    <w:rsid w:val="00657411"/>
    <w:rsid w:val="00657880"/>
    <w:rsid w:val="006607A3"/>
    <w:rsid w:val="006613BB"/>
    <w:rsid w:val="00663B9D"/>
    <w:rsid w:val="00664362"/>
    <w:rsid w:val="00670416"/>
    <w:rsid w:val="006727FA"/>
    <w:rsid w:val="00674E09"/>
    <w:rsid w:val="00675066"/>
    <w:rsid w:val="006773A5"/>
    <w:rsid w:val="00680CAD"/>
    <w:rsid w:val="00682795"/>
    <w:rsid w:val="006855B2"/>
    <w:rsid w:val="00687B8C"/>
    <w:rsid w:val="00691267"/>
    <w:rsid w:val="006917E6"/>
    <w:rsid w:val="0069181D"/>
    <w:rsid w:val="006959ED"/>
    <w:rsid w:val="006971B9"/>
    <w:rsid w:val="006A066D"/>
    <w:rsid w:val="006A0D2F"/>
    <w:rsid w:val="006A168C"/>
    <w:rsid w:val="006A1AF0"/>
    <w:rsid w:val="006A4F88"/>
    <w:rsid w:val="006A5099"/>
    <w:rsid w:val="006A5AF8"/>
    <w:rsid w:val="006A79F8"/>
    <w:rsid w:val="006B216E"/>
    <w:rsid w:val="006B4A03"/>
    <w:rsid w:val="006C1B05"/>
    <w:rsid w:val="006C2AA2"/>
    <w:rsid w:val="006C4FAD"/>
    <w:rsid w:val="006C5564"/>
    <w:rsid w:val="006C6693"/>
    <w:rsid w:val="006D098C"/>
    <w:rsid w:val="006D0F30"/>
    <w:rsid w:val="006D4627"/>
    <w:rsid w:val="006D4CBF"/>
    <w:rsid w:val="006E30AF"/>
    <w:rsid w:val="006E6303"/>
    <w:rsid w:val="006E680F"/>
    <w:rsid w:val="006E7406"/>
    <w:rsid w:val="006E7CF3"/>
    <w:rsid w:val="006F0612"/>
    <w:rsid w:val="006F1CCF"/>
    <w:rsid w:val="006F3B1E"/>
    <w:rsid w:val="006F5302"/>
    <w:rsid w:val="006F6042"/>
    <w:rsid w:val="006F7545"/>
    <w:rsid w:val="00701CC2"/>
    <w:rsid w:val="00704A35"/>
    <w:rsid w:val="00706A3B"/>
    <w:rsid w:val="00711BDC"/>
    <w:rsid w:val="00712BAD"/>
    <w:rsid w:val="00714B48"/>
    <w:rsid w:val="00716A69"/>
    <w:rsid w:val="00716B0C"/>
    <w:rsid w:val="00720900"/>
    <w:rsid w:val="00721F83"/>
    <w:rsid w:val="007227FA"/>
    <w:rsid w:val="00724A7E"/>
    <w:rsid w:val="007263BE"/>
    <w:rsid w:val="007266CF"/>
    <w:rsid w:val="00727B08"/>
    <w:rsid w:val="0073273C"/>
    <w:rsid w:val="00733779"/>
    <w:rsid w:val="007338CF"/>
    <w:rsid w:val="00735E23"/>
    <w:rsid w:val="0074081B"/>
    <w:rsid w:val="00741B43"/>
    <w:rsid w:val="00743066"/>
    <w:rsid w:val="00743630"/>
    <w:rsid w:val="0074627C"/>
    <w:rsid w:val="00746C4A"/>
    <w:rsid w:val="00746F43"/>
    <w:rsid w:val="007504E6"/>
    <w:rsid w:val="00752E44"/>
    <w:rsid w:val="0075616E"/>
    <w:rsid w:val="00756CF8"/>
    <w:rsid w:val="007575E3"/>
    <w:rsid w:val="00757C17"/>
    <w:rsid w:val="00760807"/>
    <w:rsid w:val="00760860"/>
    <w:rsid w:val="00760C58"/>
    <w:rsid w:val="0076215B"/>
    <w:rsid w:val="00763DB0"/>
    <w:rsid w:val="007662F9"/>
    <w:rsid w:val="00771669"/>
    <w:rsid w:val="007743C8"/>
    <w:rsid w:val="007755B8"/>
    <w:rsid w:val="0077618A"/>
    <w:rsid w:val="00776423"/>
    <w:rsid w:val="00776E24"/>
    <w:rsid w:val="0077771D"/>
    <w:rsid w:val="00777D6F"/>
    <w:rsid w:val="00781221"/>
    <w:rsid w:val="00781651"/>
    <w:rsid w:val="007831B8"/>
    <w:rsid w:val="00791625"/>
    <w:rsid w:val="00793A71"/>
    <w:rsid w:val="00795AF9"/>
    <w:rsid w:val="00795C9D"/>
    <w:rsid w:val="007A22D0"/>
    <w:rsid w:val="007A3AB6"/>
    <w:rsid w:val="007A3B55"/>
    <w:rsid w:val="007A3C0C"/>
    <w:rsid w:val="007A464F"/>
    <w:rsid w:val="007A6A2D"/>
    <w:rsid w:val="007B2192"/>
    <w:rsid w:val="007B3EAE"/>
    <w:rsid w:val="007B4D76"/>
    <w:rsid w:val="007B74BE"/>
    <w:rsid w:val="007C3B97"/>
    <w:rsid w:val="007C42FF"/>
    <w:rsid w:val="007C4EA4"/>
    <w:rsid w:val="007C74C1"/>
    <w:rsid w:val="007D5517"/>
    <w:rsid w:val="007D56D6"/>
    <w:rsid w:val="007E3582"/>
    <w:rsid w:val="007E59F9"/>
    <w:rsid w:val="007E678C"/>
    <w:rsid w:val="007F0ED3"/>
    <w:rsid w:val="007F215D"/>
    <w:rsid w:val="007F4C71"/>
    <w:rsid w:val="007F54A5"/>
    <w:rsid w:val="007F5F6A"/>
    <w:rsid w:val="00803CF6"/>
    <w:rsid w:val="008054DC"/>
    <w:rsid w:val="00805B49"/>
    <w:rsid w:val="00805BA4"/>
    <w:rsid w:val="0080661E"/>
    <w:rsid w:val="0080744B"/>
    <w:rsid w:val="008104DE"/>
    <w:rsid w:val="0081095A"/>
    <w:rsid w:val="00815DFD"/>
    <w:rsid w:val="008169F8"/>
    <w:rsid w:val="008228E6"/>
    <w:rsid w:val="00824E81"/>
    <w:rsid w:val="00824F5B"/>
    <w:rsid w:val="008350C8"/>
    <w:rsid w:val="00835E9F"/>
    <w:rsid w:val="00837379"/>
    <w:rsid w:val="008436B6"/>
    <w:rsid w:val="008445C6"/>
    <w:rsid w:val="008473D0"/>
    <w:rsid w:val="00847403"/>
    <w:rsid w:val="00847648"/>
    <w:rsid w:val="00847FC2"/>
    <w:rsid w:val="00850973"/>
    <w:rsid w:val="00850D07"/>
    <w:rsid w:val="008536A6"/>
    <w:rsid w:val="00857E99"/>
    <w:rsid w:val="008603DB"/>
    <w:rsid w:val="008621F2"/>
    <w:rsid w:val="00871A65"/>
    <w:rsid w:val="00873DD0"/>
    <w:rsid w:val="0087425F"/>
    <w:rsid w:val="008747E9"/>
    <w:rsid w:val="008760A0"/>
    <w:rsid w:val="00880295"/>
    <w:rsid w:val="0088395A"/>
    <w:rsid w:val="008851C7"/>
    <w:rsid w:val="008853B5"/>
    <w:rsid w:val="00885EFC"/>
    <w:rsid w:val="008860E8"/>
    <w:rsid w:val="008860F8"/>
    <w:rsid w:val="008871C6"/>
    <w:rsid w:val="008A36E6"/>
    <w:rsid w:val="008B185A"/>
    <w:rsid w:val="008B79C6"/>
    <w:rsid w:val="008B79F8"/>
    <w:rsid w:val="008C2DC6"/>
    <w:rsid w:val="008C35BF"/>
    <w:rsid w:val="008D0137"/>
    <w:rsid w:val="008D2EB3"/>
    <w:rsid w:val="008D35D6"/>
    <w:rsid w:val="008D3864"/>
    <w:rsid w:val="008D7075"/>
    <w:rsid w:val="008E0784"/>
    <w:rsid w:val="008E1879"/>
    <w:rsid w:val="008E21AE"/>
    <w:rsid w:val="008E59A1"/>
    <w:rsid w:val="008E6A60"/>
    <w:rsid w:val="008E7512"/>
    <w:rsid w:val="008F28F6"/>
    <w:rsid w:val="008F34A9"/>
    <w:rsid w:val="008F3981"/>
    <w:rsid w:val="009005CA"/>
    <w:rsid w:val="009031A5"/>
    <w:rsid w:val="009118FF"/>
    <w:rsid w:val="00912CB0"/>
    <w:rsid w:val="009136E6"/>
    <w:rsid w:val="00913EAA"/>
    <w:rsid w:val="009148EF"/>
    <w:rsid w:val="00914D0C"/>
    <w:rsid w:val="00916EEF"/>
    <w:rsid w:val="00916FAD"/>
    <w:rsid w:val="009178A5"/>
    <w:rsid w:val="0092061F"/>
    <w:rsid w:val="009218C9"/>
    <w:rsid w:val="0092343A"/>
    <w:rsid w:val="009236E6"/>
    <w:rsid w:val="00923BF0"/>
    <w:rsid w:val="009240AC"/>
    <w:rsid w:val="00924178"/>
    <w:rsid w:val="00924BAE"/>
    <w:rsid w:val="00925542"/>
    <w:rsid w:val="00926B51"/>
    <w:rsid w:val="0093128F"/>
    <w:rsid w:val="009317A2"/>
    <w:rsid w:val="00931907"/>
    <w:rsid w:val="00933D20"/>
    <w:rsid w:val="00934B36"/>
    <w:rsid w:val="00935F9F"/>
    <w:rsid w:val="00937A55"/>
    <w:rsid w:val="0094101C"/>
    <w:rsid w:val="009418A0"/>
    <w:rsid w:val="00941E8B"/>
    <w:rsid w:val="00944686"/>
    <w:rsid w:val="00947FC8"/>
    <w:rsid w:val="00953021"/>
    <w:rsid w:val="0096431E"/>
    <w:rsid w:val="0097367F"/>
    <w:rsid w:val="0097452B"/>
    <w:rsid w:val="00975FB0"/>
    <w:rsid w:val="00982419"/>
    <w:rsid w:val="00983285"/>
    <w:rsid w:val="009832D5"/>
    <w:rsid w:val="009846B5"/>
    <w:rsid w:val="00985887"/>
    <w:rsid w:val="00986F4C"/>
    <w:rsid w:val="00987C61"/>
    <w:rsid w:val="00995EAD"/>
    <w:rsid w:val="009A0A4F"/>
    <w:rsid w:val="009A1546"/>
    <w:rsid w:val="009A2CAC"/>
    <w:rsid w:val="009A2D9C"/>
    <w:rsid w:val="009A4C57"/>
    <w:rsid w:val="009A7E8A"/>
    <w:rsid w:val="009B09B1"/>
    <w:rsid w:val="009B2456"/>
    <w:rsid w:val="009B2834"/>
    <w:rsid w:val="009B2DD9"/>
    <w:rsid w:val="009B326C"/>
    <w:rsid w:val="009B463B"/>
    <w:rsid w:val="009B4820"/>
    <w:rsid w:val="009B48A9"/>
    <w:rsid w:val="009B4B45"/>
    <w:rsid w:val="009C427C"/>
    <w:rsid w:val="009C49A1"/>
    <w:rsid w:val="009C4D10"/>
    <w:rsid w:val="009C6DAD"/>
    <w:rsid w:val="009C7323"/>
    <w:rsid w:val="009D2A0D"/>
    <w:rsid w:val="009E0AF9"/>
    <w:rsid w:val="009E1362"/>
    <w:rsid w:val="009E6473"/>
    <w:rsid w:val="009E64D7"/>
    <w:rsid w:val="009E7209"/>
    <w:rsid w:val="009F0C38"/>
    <w:rsid w:val="009F172E"/>
    <w:rsid w:val="009F19EF"/>
    <w:rsid w:val="009F40AC"/>
    <w:rsid w:val="009F458A"/>
    <w:rsid w:val="00A02047"/>
    <w:rsid w:val="00A03E88"/>
    <w:rsid w:val="00A05205"/>
    <w:rsid w:val="00A1089A"/>
    <w:rsid w:val="00A116E5"/>
    <w:rsid w:val="00A12C05"/>
    <w:rsid w:val="00A13D36"/>
    <w:rsid w:val="00A14065"/>
    <w:rsid w:val="00A144CB"/>
    <w:rsid w:val="00A14700"/>
    <w:rsid w:val="00A17D28"/>
    <w:rsid w:val="00A232FD"/>
    <w:rsid w:val="00A233ED"/>
    <w:rsid w:val="00A24E02"/>
    <w:rsid w:val="00A2657C"/>
    <w:rsid w:val="00A277B7"/>
    <w:rsid w:val="00A31046"/>
    <w:rsid w:val="00A3221C"/>
    <w:rsid w:val="00A324A1"/>
    <w:rsid w:val="00A35C68"/>
    <w:rsid w:val="00A36EC5"/>
    <w:rsid w:val="00A43515"/>
    <w:rsid w:val="00A522B3"/>
    <w:rsid w:val="00A55370"/>
    <w:rsid w:val="00A561BC"/>
    <w:rsid w:val="00A637AA"/>
    <w:rsid w:val="00A648C4"/>
    <w:rsid w:val="00A64FBC"/>
    <w:rsid w:val="00A651AA"/>
    <w:rsid w:val="00A70F71"/>
    <w:rsid w:val="00A71C94"/>
    <w:rsid w:val="00A75349"/>
    <w:rsid w:val="00A77142"/>
    <w:rsid w:val="00A8260A"/>
    <w:rsid w:val="00A82D5B"/>
    <w:rsid w:val="00A86022"/>
    <w:rsid w:val="00A86EFE"/>
    <w:rsid w:val="00A8754F"/>
    <w:rsid w:val="00A90A1F"/>
    <w:rsid w:val="00A93834"/>
    <w:rsid w:val="00A93D56"/>
    <w:rsid w:val="00A93F49"/>
    <w:rsid w:val="00A95E29"/>
    <w:rsid w:val="00A96BC0"/>
    <w:rsid w:val="00A96C57"/>
    <w:rsid w:val="00AA1819"/>
    <w:rsid w:val="00AA3DA2"/>
    <w:rsid w:val="00AA4400"/>
    <w:rsid w:val="00AA7709"/>
    <w:rsid w:val="00AA77D4"/>
    <w:rsid w:val="00AA7936"/>
    <w:rsid w:val="00AB0C83"/>
    <w:rsid w:val="00AB2753"/>
    <w:rsid w:val="00AB2B3F"/>
    <w:rsid w:val="00AB2F06"/>
    <w:rsid w:val="00AB4668"/>
    <w:rsid w:val="00AB46A1"/>
    <w:rsid w:val="00AB58DF"/>
    <w:rsid w:val="00AB63E0"/>
    <w:rsid w:val="00AB79C4"/>
    <w:rsid w:val="00AB7BE6"/>
    <w:rsid w:val="00AB7C68"/>
    <w:rsid w:val="00AC41FC"/>
    <w:rsid w:val="00AC6FD3"/>
    <w:rsid w:val="00AC756B"/>
    <w:rsid w:val="00AD44C4"/>
    <w:rsid w:val="00AD5FEB"/>
    <w:rsid w:val="00AD6126"/>
    <w:rsid w:val="00AD7C2F"/>
    <w:rsid w:val="00AE3015"/>
    <w:rsid w:val="00AE3835"/>
    <w:rsid w:val="00AE5024"/>
    <w:rsid w:val="00AE5F06"/>
    <w:rsid w:val="00AE61B6"/>
    <w:rsid w:val="00AE75CC"/>
    <w:rsid w:val="00AF2130"/>
    <w:rsid w:val="00AF2FBA"/>
    <w:rsid w:val="00AF47E0"/>
    <w:rsid w:val="00AF4869"/>
    <w:rsid w:val="00AF619D"/>
    <w:rsid w:val="00AF70A2"/>
    <w:rsid w:val="00AF717B"/>
    <w:rsid w:val="00AF71BB"/>
    <w:rsid w:val="00B02153"/>
    <w:rsid w:val="00B03AC8"/>
    <w:rsid w:val="00B06C63"/>
    <w:rsid w:val="00B107B1"/>
    <w:rsid w:val="00B10C82"/>
    <w:rsid w:val="00B121EB"/>
    <w:rsid w:val="00B140E6"/>
    <w:rsid w:val="00B14A81"/>
    <w:rsid w:val="00B14D59"/>
    <w:rsid w:val="00B1791B"/>
    <w:rsid w:val="00B17C29"/>
    <w:rsid w:val="00B201EA"/>
    <w:rsid w:val="00B20FE0"/>
    <w:rsid w:val="00B22711"/>
    <w:rsid w:val="00B22BB9"/>
    <w:rsid w:val="00B238F9"/>
    <w:rsid w:val="00B254DE"/>
    <w:rsid w:val="00B264DB"/>
    <w:rsid w:val="00B2771A"/>
    <w:rsid w:val="00B31E9B"/>
    <w:rsid w:val="00B3442B"/>
    <w:rsid w:val="00B345AF"/>
    <w:rsid w:val="00B3588D"/>
    <w:rsid w:val="00B3695F"/>
    <w:rsid w:val="00B36EC9"/>
    <w:rsid w:val="00B37EC6"/>
    <w:rsid w:val="00B43B8F"/>
    <w:rsid w:val="00B44D11"/>
    <w:rsid w:val="00B45111"/>
    <w:rsid w:val="00B473BC"/>
    <w:rsid w:val="00B523CB"/>
    <w:rsid w:val="00B547BA"/>
    <w:rsid w:val="00B56963"/>
    <w:rsid w:val="00B618AC"/>
    <w:rsid w:val="00B62FAA"/>
    <w:rsid w:val="00B66FE8"/>
    <w:rsid w:val="00B70E83"/>
    <w:rsid w:val="00B7301B"/>
    <w:rsid w:val="00B74126"/>
    <w:rsid w:val="00B75160"/>
    <w:rsid w:val="00B769F4"/>
    <w:rsid w:val="00B76A27"/>
    <w:rsid w:val="00B76D13"/>
    <w:rsid w:val="00B772DB"/>
    <w:rsid w:val="00B80060"/>
    <w:rsid w:val="00B803D9"/>
    <w:rsid w:val="00B815A6"/>
    <w:rsid w:val="00B840AB"/>
    <w:rsid w:val="00B85E07"/>
    <w:rsid w:val="00B926E3"/>
    <w:rsid w:val="00B926F4"/>
    <w:rsid w:val="00B946DC"/>
    <w:rsid w:val="00B95027"/>
    <w:rsid w:val="00B963D5"/>
    <w:rsid w:val="00BA04E5"/>
    <w:rsid w:val="00BA28D8"/>
    <w:rsid w:val="00BA3042"/>
    <w:rsid w:val="00BA45A4"/>
    <w:rsid w:val="00BA50CA"/>
    <w:rsid w:val="00BA5E93"/>
    <w:rsid w:val="00BA6012"/>
    <w:rsid w:val="00BA6C05"/>
    <w:rsid w:val="00BB0487"/>
    <w:rsid w:val="00BB0627"/>
    <w:rsid w:val="00BB1AE6"/>
    <w:rsid w:val="00BC3659"/>
    <w:rsid w:val="00BC464A"/>
    <w:rsid w:val="00BC6A91"/>
    <w:rsid w:val="00BC6E21"/>
    <w:rsid w:val="00BD23A1"/>
    <w:rsid w:val="00BD319C"/>
    <w:rsid w:val="00BD33DC"/>
    <w:rsid w:val="00BD3887"/>
    <w:rsid w:val="00BD6793"/>
    <w:rsid w:val="00BD68C3"/>
    <w:rsid w:val="00BE0CD9"/>
    <w:rsid w:val="00BE12A4"/>
    <w:rsid w:val="00BE1B7B"/>
    <w:rsid w:val="00BE20C5"/>
    <w:rsid w:val="00BE2331"/>
    <w:rsid w:val="00BE44B7"/>
    <w:rsid w:val="00BE6CA9"/>
    <w:rsid w:val="00BE7253"/>
    <w:rsid w:val="00BE75A0"/>
    <w:rsid w:val="00BE7721"/>
    <w:rsid w:val="00BF0A78"/>
    <w:rsid w:val="00BF2C7F"/>
    <w:rsid w:val="00BF33BB"/>
    <w:rsid w:val="00BF5BFD"/>
    <w:rsid w:val="00C01624"/>
    <w:rsid w:val="00C01B5A"/>
    <w:rsid w:val="00C01E4B"/>
    <w:rsid w:val="00C03B5C"/>
    <w:rsid w:val="00C0507F"/>
    <w:rsid w:val="00C05A3C"/>
    <w:rsid w:val="00C10ED6"/>
    <w:rsid w:val="00C13336"/>
    <w:rsid w:val="00C13C0A"/>
    <w:rsid w:val="00C1564F"/>
    <w:rsid w:val="00C17E09"/>
    <w:rsid w:val="00C218A5"/>
    <w:rsid w:val="00C2278F"/>
    <w:rsid w:val="00C22D47"/>
    <w:rsid w:val="00C25868"/>
    <w:rsid w:val="00C26F6F"/>
    <w:rsid w:val="00C3168F"/>
    <w:rsid w:val="00C316B2"/>
    <w:rsid w:val="00C31B0D"/>
    <w:rsid w:val="00C32A96"/>
    <w:rsid w:val="00C36975"/>
    <w:rsid w:val="00C36CDC"/>
    <w:rsid w:val="00C4217E"/>
    <w:rsid w:val="00C42769"/>
    <w:rsid w:val="00C42D62"/>
    <w:rsid w:val="00C4523D"/>
    <w:rsid w:val="00C47750"/>
    <w:rsid w:val="00C52197"/>
    <w:rsid w:val="00C527E9"/>
    <w:rsid w:val="00C52C1B"/>
    <w:rsid w:val="00C52D3D"/>
    <w:rsid w:val="00C55294"/>
    <w:rsid w:val="00C6082A"/>
    <w:rsid w:val="00C66B4E"/>
    <w:rsid w:val="00C70945"/>
    <w:rsid w:val="00C71638"/>
    <w:rsid w:val="00C7256D"/>
    <w:rsid w:val="00C729A6"/>
    <w:rsid w:val="00C73062"/>
    <w:rsid w:val="00C7349B"/>
    <w:rsid w:val="00C766FC"/>
    <w:rsid w:val="00C8123E"/>
    <w:rsid w:val="00C8194A"/>
    <w:rsid w:val="00C82601"/>
    <w:rsid w:val="00C9197D"/>
    <w:rsid w:val="00C92B8E"/>
    <w:rsid w:val="00C940BD"/>
    <w:rsid w:val="00C96CA3"/>
    <w:rsid w:val="00C976B2"/>
    <w:rsid w:val="00C97B83"/>
    <w:rsid w:val="00CA0CBE"/>
    <w:rsid w:val="00CA30A8"/>
    <w:rsid w:val="00CA56BF"/>
    <w:rsid w:val="00CA6631"/>
    <w:rsid w:val="00CB1D2B"/>
    <w:rsid w:val="00CB2DE1"/>
    <w:rsid w:val="00CB30CB"/>
    <w:rsid w:val="00CB6D9D"/>
    <w:rsid w:val="00CB7E31"/>
    <w:rsid w:val="00CC0584"/>
    <w:rsid w:val="00CC1777"/>
    <w:rsid w:val="00CC3D9E"/>
    <w:rsid w:val="00CC6C81"/>
    <w:rsid w:val="00CC78E1"/>
    <w:rsid w:val="00CD0C06"/>
    <w:rsid w:val="00CD0CAE"/>
    <w:rsid w:val="00CD1E3C"/>
    <w:rsid w:val="00CD26DE"/>
    <w:rsid w:val="00CD2B5F"/>
    <w:rsid w:val="00CD4145"/>
    <w:rsid w:val="00CD52B5"/>
    <w:rsid w:val="00CD57F8"/>
    <w:rsid w:val="00CD615C"/>
    <w:rsid w:val="00CD797F"/>
    <w:rsid w:val="00CE093F"/>
    <w:rsid w:val="00CE44AF"/>
    <w:rsid w:val="00CF1920"/>
    <w:rsid w:val="00CF4EA8"/>
    <w:rsid w:val="00D01E91"/>
    <w:rsid w:val="00D041EE"/>
    <w:rsid w:val="00D056F5"/>
    <w:rsid w:val="00D05748"/>
    <w:rsid w:val="00D05A8B"/>
    <w:rsid w:val="00D11083"/>
    <w:rsid w:val="00D12F26"/>
    <w:rsid w:val="00D13C18"/>
    <w:rsid w:val="00D14017"/>
    <w:rsid w:val="00D14700"/>
    <w:rsid w:val="00D15970"/>
    <w:rsid w:val="00D25670"/>
    <w:rsid w:val="00D30739"/>
    <w:rsid w:val="00D3076D"/>
    <w:rsid w:val="00D312A9"/>
    <w:rsid w:val="00D321FD"/>
    <w:rsid w:val="00D33478"/>
    <w:rsid w:val="00D353A7"/>
    <w:rsid w:val="00D358E7"/>
    <w:rsid w:val="00D406F6"/>
    <w:rsid w:val="00D41CE6"/>
    <w:rsid w:val="00D41D52"/>
    <w:rsid w:val="00D41D94"/>
    <w:rsid w:val="00D42790"/>
    <w:rsid w:val="00D43133"/>
    <w:rsid w:val="00D44D7D"/>
    <w:rsid w:val="00D45921"/>
    <w:rsid w:val="00D516B9"/>
    <w:rsid w:val="00D53164"/>
    <w:rsid w:val="00D54B01"/>
    <w:rsid w:val="00D606DB"/>
    <w:rsid w:val="00D643C4"/>
    <w:rsid w:val="00D6627A"/>
    <w:rsid w:val="00D67F78"/>
    <w:rsid w:val="00D7051F"/>
    <w:rsid w:val="00D70DA4"/>
    <w:rsid w:val="00D76AFF"/>
    <w:rsid w:val="00D83FA4"/>
    <w:rsid w:val="00D85800"/>
    <w:rsid w:val="00D866DC"/>
    <w:rsid w:val="00D87108"/>
    <w:rsid w:val="00D877CA"/>
    <w:rsid w:val="00D90C2A"/>
    <w:rsid w:val="00D921F9"/>
    <w:rsid w:val="00D931FB"/>
    <w:rsid w:val="00DA1702"/>
    <w:rsid w:val="00DA2DFD"/>
    <w:rsid w:val="00DA6D3A"/>
    <w:rsid w:val="00DA75D7"/>
    <w:rsid w:val="00DB058F"/>
    <w:rsid w:val="00DB079C"/>
    <w:rsid w:val="00DB693F"/>
    <w:rsid w:val="00DB729D"/>
    <w:rsid w:val="00DB7F3C"/>
    <w:rsid w:val="00DC38E7"/>
    <w:rsid w:val="00DC49B4"/>
    <w:rsid w:val="00DD0B58"/>
    <w:rsid w:val="00DD2E5D"/>
    <w:rsid w:val="00DD4168"/>
    <w:rsid w:val="00DD5256"/>
    <w:rsid w:val="00DD6218"/>
    <w:rsid w:val="00DD6344"/>
    <w:rsid w:val="00DE0661"/>
    <w:rsid w:val="00DE0E18"/>
    <w:rsid w:val="00DE3F81"/>
    <w:rsid w:val="00DE48CE"/>
    <w:rsid w:val="00DE6DB3"/>
    <w:rsid w:val="00DF4846"/>
    <w:rsid w:val="00DF4A4F"/>
    <w:rsid w:val="00E00540"/>
    <w:rsid w:val="00E0101E"/>
    <w:rsid w:val="00E016B9"/>
    <w:rsid w:val="00E06255"/>
    <w:rsid w:val="00E066D4"/>
    <w:rsid w:val="00E122C7"/>
    <w:rsid w:val="00E1347B"/>
    <w:rsid w:val="00E15877"/>
    <w:rsid w:val="00E15BC7"/>
    <w:rsid w:val="00E163FE"/>
    <w:rsid w:val="00E21479"/>
    <w:rsid w:val="00E214F1"/>
    <w:rsid w:val="00E2170F"/>
    <w:rsid w:val="00E21B23"/>
    <w:rsid w:val="00E22078"/>
    <w:rsid w:val="00E22103"/>
    <w:rsid w:val="00E23D69"/>
    <w:rsid w:val="00E24A16"/>
    <w:rsid w:val="00E252E4"/>
    <w:rsid w:val="00E25CC7"/>
    <w:rsid w:val="00E25EE6"/>
    <w:rsid w:val="00E27A35"/>
    <w:rsid w:val="00E27F0C"/>
    <w:rsid w:val="00E30ADC"/>
    <w:rsid w:val="00E319F9"/>
    <w:rsid w:val="00E352C7"/>
    <w:rsid w:val="00E378FB"/>
    <w:rsid w:val="00E40B59"/>
    <w:rsid w:val="00E42A7C"/>
    <w:rsid w:val="00E441EC"/>
    <w:rsid w:val="00E4534D"/>
    <w:rsid w:val="00E46CBA"/>
    <w:rsid w:val="00E474FA"/>
    <w:rsid w:val="00E47B95"/>
    <w:rsid w:val="00E504E7"/>
    <w:rsid w:val="00E50735"/>
    <w:rsid w:val="00E51773"/>
    <w:rsid w:val="00E52191"/>
    <w:rsid w:val="00E5234F"/>
    <w:rsid w:val="00E54EA1"/>
    <w:rsid w:val="00E61AEF"/>
    <w:rsid w:val="00E627F5"/>
    <w:rsid w:val="00E63D33"/>
    <w:rsid w:val="00E645CA"/>
    <w:rsid w:val="00E65390"/>
    <w:rsid w:val="00E66C92"/>
    <w:rsid w:val="00E67FFD"/>
    <w:rsid w:val="00E7229A"/>
    <w:rsid w:val="00E8033E"/>
    <w:rsid w:val="00E83D9A"/>
    <w:rsid w:val="00E86A08"/>
    <w:rsid w:val="00E872A5"/>
    <w:rsid w:val="00E8776D"/>
    <w:rsid w:val="00E9074A"/>
    <w:rsid w:val="00E908BE"/>
    <w:rsid w:val="00E90FDC"/>
    <w:rsid w:val="00E91A19"/>
    <w:rsid w:val="00E92506"/>
    <w:rsid w:val="00E925FE"/>
    <w:rsid w:val="00E93098"/>
    <w:rsid w:val="00E93816"/>
    <w:rsid w:val="00E940F6"/>
    <w:rsid w:val="00E9538D"/>
    <w:rsid w:val="00E95667"/>
    <w:rsid w:val="00E96841"/>
    <w:rsid w:val="00E9797A"/>
    <w:rsid w:val="00E97D26"/>
    <w:rsid w:val="00EA04F6"/>
    <w:rsid w:val="00EA0AE0"/>
    <w:rsid w:val="00EA1013"/>
    <w:rsid w:val="00EA2BAA"/>
    <w:rsid w:val="00EA3572"/>
    <w:rsid w:val="00EA61B2"/>
    <w:rsid w:val="00EB1637"/>
    <w:rsid w:val="00EB6806"/>
    <w:rsid w:val="00EB6A75"/>
    <w:rsid w:val="00EC0393"/>
    <w:rsid w:val="00EC128E"/>
    <w:rsid w:val="00EC18E7"/>
    <w:rsid w:val="00ED3B6A"/>
    <w:rsid w:val="00ED42D8"/>
    <w:rsid w:val="00ED4B90"/>
    <w:rsid w:val="00ED7A68"/>
    <w:rsid w:val="00EE0B7E"/>
    <w:rsid w:val="00EE2EFA"/>
    <w:rsid w:val="00EE7CB0"/>
    <w:rsid w:val="00EF1B2B"/>
    <w:rsid w:val="00EF285F"/>
    <w:rsid w:val="00EF414B"/>
    <w:rsid w:val="00EF427A"/>
    <w:rsid w:val="00EF58D8"/>
    <w:rsid w:val="00F00B03"/>
    <w:rsid w:val="00F00BB1"/>
    <w:rsid w:val="00F011BD"/>
    <w:rsid w:val="00F022EF"/>
    <w:rsid w:val="00F02FAC"/>
    <w:rsid w:val="00F02FDD"/>
    <w:rsid w:val="00F063DB"/>
    <w:rsid w:val="00F100C1"/>
    <w:rsid w:val="00F14675"/>
    <w:rsid w:val="00F201B2"/>
    <w:rsid w:val="00F3166B"/>
    <w:rsid w:val="00F363AE"/>
    <w:rsid w:val="00F36FDC"/>
    <w:rsid w:val="00F40279"/>
    <w:rsid w:val="00F43335"/>
    <w:rsid w:val="00F45A3C"/>
    <w:rsid w:val="00F4743B"/>
    <w:rsid w:val="00F526D5"/>
    <w:rsid w:val="00F53CD0"/>
    <w:rsid w:val="00F5645F"/>
    <w:rsid w:val="00F566ED"/>
    <w:rsid w:val="00F56F1D"/>
    <w:rsid w:val="00F5764C"/>
    <w:rsid w:val="00F57C31"/>
    <w:rsid w:val="00F57EFD"/>
    <w:rsid w:val="00F60D09"/>
    <w:rsid w:val="00F611C2"/>
    <w:rsid w:val="00F63324"/>
    <w:rsid w:val="00F63FE2"/>
    <w:rsid w:val="00F64A32"/>
    <w:rsid w:val="00F71398"/>
    <w:rsid w:val="00F7215D"/>
    <w:rsid w:val="00F75536"/>
    <w:rsid w:val="00F77ED6"/>
    <w:rsid w:val="00F80908"/>
    <w:rsid w:val="00F814E0"/>
    <w:rsid w:val="00F82479"/>
    <w:rsid w:val="00F8443A"/>
    <w:rsid w:val="00F85F7E"/>
    <w:rsid w:val="00F90CD9"/>
    <w:rsid w:val="00F917B6"/>
    <w:rsid w:val="00F92964"/>
    <w:rsid w:val="00F95A23"/>
    <w:rsid w:val="00F96610"/>
    <w:rsid w:val="00FA1C71"/>
    <w:rsid w:val="00FB01AF"/>
    <w:rsid w:val="00FB01E0"/>
    <w:rsid w:val="00FB16CE"/>
    <w:rsid w:val="00FB1FB7"/>
    <w:rsid w:val="00FB2A38"/>
    <w:rsid w:val="00FC14E0"/>
    <w:rsid w:val="00FC1DAA"/>
    <w:rsid w:val="00FC38E7"/>
    <w:rsid w:val="00FC4E5C"/>
    <w:rsid w:val="00FC5831"/>
    <w:rsid w:val="00FC634C"/>
    <w:rsid w:val="00FC68AE"/>
    <w:rsid w:val="00FD0C59"/>
    <w:rsid w:val="00FD2501"/>
    <w:rsid w:val="00FD2A12"/>
    <w:rsid w:val="00FD6657"/>
    <w:rsid w:val="00FD704F"/>
    <w:rsid w:val="00FD7EC7"/>
    <w:rsid w:val="00FE0973"/>
    <w:rsid w:val="00FE296A"/>
    <w:rsid w:val="00FE2BDB"/>
    <w:rsid w:val="00FE3005"/>
    <w:rsid w:val="00FE3136"/>
    <w:rsid w:val="00FE4EE8"/>
    <w:rsid w:val="00FE50D9"/>
    <w:rsid w:val="00FE68AD"/>
    <w:rsid w:val="00FE6A2D"/>
    <w:rsid w:val="00FE7412"/>
    <w:rsid w:val="00FE75BE"/>
    <w:rsid w:val="00FE78CA"/>
    <w:rsid w:val="00FE7972"/>
    <w:rsid w:val="00FF1B3B"/>
    <w:rsid w:val="00FF2A97"/>
    <w:rsid w:val="00FF2BEC"/>
    <w:rsid w:val="00FF4B57"/>
    <w:rsid w:val="00FF6554"/>
    <w:rsid w:val="11BF2667"/>
    <w:rsid w:val="18C4C49A"/>
    <w:rsid w:val="1B7E2BDE"/>
    <w:rsid w:val="1FA13CFC"/>
    <w:rsid w:val="2F191992"/>
    <w:rsid w:val="385DE247"/>
    <w:rsid w:val="4B1FEB3A"/>
    <w:rsid w:val="4B8EB3E4"/>
    <w:rsid w:val="57A3E6C5"/>
    <w:rsid w:val="63B6DC9C"/>
    <w:rsid w:val="675C74BD"/>
    <w:rsid w:val="692C937D"/>
    <w:rsid w:val="6965105F"/>
    <w:rsid w:val="7F8FF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B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ody Headings"/>
    <w:basedOn w:val="Normal"/>
    <w:next w:val="Normal"/>
    <w:link w:val="Heading2Char"/>
    <w:unhideWhenUsed/>
    <w:qFormat/>
    <w:rsid w:val="003F7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ttachment - sub-tile"/>
    <w:basedOn w:val="Normal"/>
    <w:next w:val="Normal"/>
    <w:link w:val="Heading3Char"/>
    <w:qFormat/>
    <w:rsid w:val="007B4D76"/>
    <w:pPr>
      <w:numPr>
        <w:numId w:val="29"/>
      </w:numPr>
      <w:spacing w:after="0" w:line="240" w:lineRule="auto"/>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463B"/>
  </w:style>
  <w:style w:type="character" w:customStyle="1" w:styleId="scxw32787074">
    <w:name w:val="scxw32787074"/>
    <w:basedOn w:val="DefaultParagraphFont"/>
    <w:rsid w:val="009B463B"/>
  </w:style>
  <w:style w:type="character" w:customStyle="1" w:styleId="eop">
    <w:name w:val="eop"/>
    <w:basedOn w:val="DefaultParagraphFont"/>
    <w:rsid w:val="009B463B"/>
  </w:style>
  <w:style w:type="paragraph" w:customStyle="1" w:styleId="paragraph">
    <w:name w:val="paragraph"/>
    <w:basedOn w:val="Normal"/>
    <w:rsid w:val="009B46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9B463B"/>
    <w:pPr>
      <w:ind w:left="720"/>
      <w:contextualSpacing/>
    </w:pPr>
  </w:style>
  <w:style w:type="character" w:styleId="CommentReference">
    <w:name w:val="annotation reference"/>
    <w:basedOn w:val="DefaultParagraphFont"/>
    <w:uiPriority w:val="99"/>
    <w:semiHidden/>
    <w:unhideWhenUsed/>
    <w:rsid w:val="009218C9"/>
    <w:rPr>
      <w:sz w:val="16"/>
      <w:szCs w:val="16"/>
    </w:rPr>
  </w:style>
  <w:style w:type="paragraph" w:styleId="CommentText">
    <w:name w:val="annotation text"/>
    <w:basedOn w:val="Normal"/>
    <w:link w:val="CommentTextChar"/>
    <w:uiPriority w:val="99"/>
    <w:unhideWhenUsed/>
    <w:rsid w:val="009218C9"/>
    <w:pPr>
      <w:spacing w:line="240" w:lineRule="auto"/>
    </w:pPr>
    <w:rPr>
      <w:sz w:val="20"/>
      <w:szCs w:val="20"/>
    </w:rPr>
  </w:style>
  <w:style w:type="character" w:customStyle="1" w:styleId="CommentTextChar">
    <w:name w:val="Comment Text Char"/>
    <w:basedOn w:val="DefaultParagraphFont"/>
    <w:link w:val="CommentText"/>
    <w:uiPriority w:val="99"/>
    <w:rsid w:val="009218C9"/>
    <w:rPr>
      <w:sz w:val="20"/>
      <w:szCs w:val="20"/>
    </w:rPr>
  </w:style>
  <w:style w:type="paragraph" w:styleId="CommentSubject">
    <w:name w:val="annotation subject"/>
    <w:basedOn w:val="CommentText"/>
    <w:next w:val="CommentText"/>
    <w:link w:val="CommentSubjectChar"/>
    <w:uiPriority w:val="99"/>
    <w:semiHidden/>
    <w:unhideWhenUsed/>
    <w:rsid w:val="009218C9"/>
    <w:rPr>
      <w:b/>
      <w:bCs/>
    </w:rPr>
  </w:style>
  <w:style w:type="character" w:customStyle="1" w:styleId="CommentSubjectChar">
    <w:name w:val="Comment Subject Char"/>
    <w:basedOn w:val="CommentTextChar"/>
    <w:link w:val="CommentSubject"/>
    <w:uiPriority w:val="99"/>
    <w:semiHidden/>
    <w:rsid w:val="009218C9"/>
    <w:rPr>
      <w:b/>
      <w:bCs/>
      <w:sz w:val="20"/>
      <w:szCs w:val="20"/>
    </w:rPr>
  </w:style>
  <w:style w:type="paragraph" w:styleId="BalloonText">
    <w:name w:val="Balloon Text"/>
    <w:basedOn w:val="Normal"/>
    <w:link w:val="BalloonTextChar"/>
    <w:uiPriority w:val="99"/>
    <w:semiHidden/>
    <w:unhideWhenUsed/>
    <w:rsid w:val="0092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C9"/>
    <w:rPr>
      <w:rFonts w:ascii="Segoe UI" w:hAnsi="Segoe UI" w:cs="Segoe UI"/>
      <w:sz w:val="18"/>
      <w:szCs w:val="18"/>
    </w:rPr>
  </w:style>
  <w:style w:type="character" w:styleId="Hyperlink">
    <w:name w:val="Hyperlink"/>
    <w:uiPriority w:val="99"/>
    <w:rsid w:val="00E872A5"/>
    <w:rPr>
      <w:rFonts w:ascii="Arial" w:hAnsi="Arial" w:cs="Times New Roman"/>
      <w:color w:val="0000FF"/>
      <w:sz w:val="22"/>
      <w:u w:val="single"/>
    </w:rPr>
  </w:style>
  <w:style w:type="paragraph" w:customStyle="1" w:styleId="GGGeneralSectionClause11">
    <w:name w:val="GG General Section Clause 1.1"/>
    <w:basedOn w:val="ListParagraph"/>
    <w:link w:val="GGGeneralSectionClause11Char"/>
    <w:qFormat/>
    <w:rsid w:val="00E872A5"/>
    <w:pPr>
      <w:numPr>
        <w:ilvl w:val="2"/>
        <w:numId w:val="5"/>
      </w:numPr>
      <w:tabs>
        <w:tab w:val="left" w:pos="1276"/>
      </w:tabs>
      <w:suppressAutoHyphens/>
      <w:spacing w:before="120" w:after="120" w:line="285" w:lineRule="atLeast"/>
      <w:contextualSpacing w:val="0"/>
    </w:pPr>
    <w:rPr>
      <w:rFonts w:ascii="Calibri" w:hAnsi="Calibri"/>
    </w:rPr>
  </w:style>
  <w:style w:type="character" w:customStyle="1" w:styleId="GGGeneralSectionClause11Char">
    <w:name w:val="GG General Section Clause 1.1 Char"/>
    <w:basedOn w:val="DefaultParagraphFont"/>
    <w:link w:val="GGGeneralSectionClause11"/>
    <w:rsid w:val="00E872A5"/>
    <w:rPr>
      <w:rFonts w:ascii="Calibri" w:hAnsi="Calibri"/>
    </w:rPr>
  </w:style>
  <w:style w:type="paragraph" w:customStyle="1" w:styleId="GrantGuidelinesHeading1">
    <w:name w:val="Grant Guidelines Heading 1"/>
    <w:basedOn w:val="Normal"/>
    <w:qFormat/>
    <w:rsid w:val="00E872A5"/>
    <w:pPr>
      <w:keepNext/>
      <w:keepLines/>
      <w:numPr>
        <w:numId w:val="5"/>
      </w:numPr>
      <w:suppressAutoHyphens/>
      <w:spacing w:before="240" w:after="120" w:line="285" w:lineRule="atLeast"/>
      <w:ind w:left="851" w:hanging="847"/>
      <w:contextualSpacing/>
      <w:outlineLvl w:val="0"/>
    </w:pPr>
    <w:rPr>
      <w:rFonts w:asciiTheme="majorHAnsi" w:eastAsiaTheme="majorEastAsia" w:hAnsiTheme="majorHAnsi" w:cstheme="majorBidi"/>
      <w:b/>
      <w:bCs/>
      <w:color w:val="44546A" w:themeColor="text2"/>
      <w:sz w:val="30"/>
      <w:szCs w:val="30"/>
    </w:rPr>
  </w:style>
  <w:style w:type="paragraph" w:customStyle="1" w:styleId="GGAssessmentCriteria-">
    <w:name w:val="GG Assessment Criteria -"/>
    <w:basedOn w:val="Normal"/>
    <w:link w:val="GGAssessmentCriteria-Char"/>
    <w:qFormat/>
    <w:rsid w:val="00935F9F"/>
    <w:pPr>
      <w:numPr>
        <w:numId w:val="6"/>
      </w:numPr>
      <w:suppressAutoHyphens/>
      <w:spacing w:before="120" w:after="60" w:line="280" w:lineRule="atLeast"/>
    </w:pPr>
    <w:rPr>
      <w:rFonts w:ascii="Calibri" w:hAnsi="Calibri" w:cstheme="majorHAnsi"/>
    </w:rPr>
  </w:style>
  <w:style w:type="character" w:customStyle="1" w:styleId="GGAssessmentCriteria-Char">
    <w:name w:val="GG Assessment Criteria - Char"/>
    <w:basedOn w:val="DefaultParagraphFont"/>
    <w:link w:val="GGAssessmentCriteria-"/>
    <w:rsid w:val="00935F9F"/>
    <w:rPr>
      <w:rFonts w:ascii="Calibri" w:hAnsi="Calibri" w:cstheme="majorHAnsi"/>
    </w:rPr>
  </w:style>
  <w:style w:type="paragraph" w:customStyle="1" w:styleId="GrantGuidelinesClauseGeneralSection">
    <w:name w:val="Grant Guidelines Clause General Section"/>
    <w:basedOn w:val="ListParagraph"/>
    <w:link w:val="GrantGuidelinesClauseGeneralSectionChar"/>
    <w:autoRedefine/>
    <w:qFormat/>
    <w:rsid w:val="0097367F"/>
    <w:pPr>
      <w:suppressAutoHyphens/>
      <w:spacing w:after="0" w:line="240" w:lineRule="auto"/>
      <w:ind w:left="1080"/>
      <w:contextualSpacing w:val="0"/>
    </w:pPr>
    <w:rPr>
      <w:rFonts w:ascii="Calibri" w:hAnsi="Calibri" w:cstheme="minorHAnsi"/>
      <w:bCs/>
      <w:szCs w:val="20"/>
    </w:rPr>
  </w:style>
  <w:style w:type="character" w:customStyle="1" w:styleId="GrantGuidelinesClauseGeneralSectionChar">
    <w:name w:val="Grant Guidelines Clause General Section Char"/>
    <w:basedOn w:val="DefaultParagraphFont"/>
    <w:link w:val="GrantGuidelinesClauseGeneralSection"/>
    <w:rsid w:val="0097367F"/>
    <w:rPr>
      <w:rFonts w:ascii="Calibri" w:hAnsi="Calibri" w:cstheme="minorHAnsi"/>
      <w:bCs/>
      <w:szCs w:val="20"/>
    </w:rPr>
  </w:style>
  <w:style w:type="paragraph" w:customStyle="1" w:styleId="GrantGuidelinesHeadingGeneralSection">
    <w:name w:val="Grant Guidelines Heading General Section"/>
    <w:basedOn w:val="Normal"/>
    <w:link w:val="GrantGuidelinesHeadingGeneralSectionChar"/>
    <w:autoRedefine/>
    <w:qFormat/>
    <w:rsid w:val="00733779"/>
    <w:pPr>
      <w:keepNext/>
      <w:keepLines/>
      <w:suppressAutoHyphens/>
      <w:spacing w:before="240" w:after="120" w:line="285" w:lineRule="atLeast"/>
      <w:ind w:left="851" w:hanging="851"/>
      <w:contextualSpacing/>
      <w:outlineLvl w:val="0"/>
    </w:pPr>
    <w:rPr>
      <w:rFonts w:asciiTheme="majorHAnsi" w:eastAsiaTheme="majorEastAsia" w:hAnsiTheme="majorHAnsi" w:cstheme="majorBidi"/>
      <w:b/>
      <w:bCs/>
      <w:color w:val="44546A" w:themeColor="text2"/>
      <w:sz w:val="30"/>
      <w:szCs w:val="30"/>
    </w:rPr>
  </w:style>
  <w:style w:type="paragraph" w:customStyle="1" w:styleId="GrantGuidelinesaPoints">
    <w:name w:val="Grant Guidelines a. Points"/>
    <w:basedOn w:val="Normal"/>
    <w:next w:val="Normal"/>
    <w:link w:val="GrantGuidelinesaPointsChar"/>
    <w:qFormat/>
    <w:rsid w:val="00733779"/>
    <w:pPr>
      <w:numPr>
        <w:numId w:val="7"/>
      </w:numPr>
      <w:spacing w:before="120" w:after="120" w:line="285" w:lineRule="atLeast"/>
    </w:pPr>
    <w:rPr>
      <w:rFonts w:ascii="Calibri" w:eastAsia="Times New Roman" w:hAnsi="Calibri" w:cs="Arial"/>
      <w:bCs/>
    </w:rPr>
  </w:style>
  <w:style w:type="character" w:customStyle="1" w:styleId="GrantGuidelinesaPointsChar">
    <w:name w:val="Grant Guidelines a. Points Char"/>
    <w:basedOn w:val="DefaultParagraphFont"/>
    <w:link w:val="GrantGuidelinesaPoints"/>
    <w:rsid w:val="00733779"/>
    <w:rPr>
      <w:rFonts w:ascii="Calibri" w:eastAsia="Times New Roman" w:hAnsi="Calibri" w:cs="Arial"/>
      <w:bCs/>
    </w:rPr>
  </w:style>
  <w:style w:type="paragraph" w:customStyle="1" w:styleId="GrantGuidelinesHeading3black">
    <w:name w:val="Grant Guidelines Heading 3 black"/>
    <w:basedOn w:val="Normal"/>
    <w:link w:val="GrantGuidelinesHeading3blackChar"/>
    <w:autoRedefine/>
    <w:rsid w:val="00A86022"/>
    <w:pPr>
      <w:keepNext/>
      <w:keepLines/>
      <w:suppressAutoHyphens/>
      <w:spacing w:before="240" w:after="120" w:line="280" w:lineRule="atLeast"/>
      <w:ind w:left="561" w:hanging="561"/>
      <w:contextualSpacing/>
      <w:outlineLvl w:val="2"/>
    </w:pPr>
    <w:rPr>
      <w:rFonts w:ascii="Calibri" w:eastAsiaTheme="majorEastAsia" w:hAnsi="Calibri" w:cstheme="majorBidi"/>
      <w:b/>
      <w:bCs/>
      <w:iCs/>
    </w:rPr>
  </w:style>
  <w:style w:type="character" w:customStyle="1" w:styleId="GrantGuidelinesHeading3blackChar">
    <w:name w:val="Grant Guidelines Heading 3 black Char"/>
    <w:basedOn w:val="DefaultParagraphFont"/>
    <w:link w:val="GrantGuidelinesHeading3black"/>
    <w:rsid w:val="00A86022"/>
    <w:rPr>
      <w:rFonts w:ascii="Calibri" w:eastAsiaTheme="majorEastAsia" w:hAnsi="Calibri" w:cstheme="majorBidi"/>
      <w:b/>
      <w:bCs/>
      <w:iCs/>
    </w:rPr>
  </w:style>
  <w:style w:type="paragraph" w:customStyle="1" w:styleId="GrantGuidelinesHeading3">
    <w:name w:val="Grant Guidelines Heading 3"/>
    <w:basedOn w:val="Normal"/>
    <w:link w:val="GrantGuidelinesHeading3Char"/>
    <w:autoRedefine/>
    <w:qFormat/>
    <w:rsid w:val="00A86022"/>
    <w:pPr>
      <w:keepNext/>
      <w:keepLines/>
      <w:suppressAutoHyphens/>
      <w:spacing w:before="240" w:after="120" w:line="300" w:lineRule="atLeast"/>
      <w:ind w:left="567" w:hanging="567"/>
      <w:contextualSpacing/>
      <w:outlineLvl w:val="2"/>
    </w:pPr>
    <w:rPr>
      <w:rFonts w:asciiTheme="majorHAnsi" w:eastAsiaTheme="majorEastAsia" w:hAnsiTheme="majorHAnsi" w:cstheme="majorBidi"/>
      <w:b/>
      <w:bCs/>
      <w:color w:val="44546A" w:themeColor="text2"/>
      <w:sz w:val="24"/>
      <w14:scene3d>
        <w14:camera w14:prst="orthographicFront"/>
        <w14:lightRig w14:rig="threePt" w14:dir="t">
          <w14:rot w14:lat="0" w14:lon="0" w14:rev="0"/>
        </w14:lightRig>
      </w14:scene3d>
    </w:rPr>
  </w:style>
  <w:style w:type="character" w:customStyle="1" w:styleId="GrantGuidelinesHeading3Char">
    <w:name w:val="Grant Guidelines Heading 3 Char"/>
    <w:basedOn w:val="DefaultParagraphFont"/>
    <w:link w:val="GrantGuidelinesHeading3"/>
    <w:rsid w:val="00A86022"/>
    <w:rPr>
      <w:rFonts w:asciiTheme="majorHAnsi" w:eastAsiaTheme="majorEastAsia" w:hAnsiTheme="majorHAnsi" w:cstheme="majorBidi"/>
      <w:b/>
      <w:bCs/>
      <w:color w:val="44546A" w:themeColor="text2"/>
      <w:sz w:val="24"/>
      <w14:scene3d>
        <w14:camera w14:prst="orthographicFront"/>
        <w14:lightRig w14:rig="threePt" w14:dir="t">
          <w14:rot w14:lat="0" w14:lon="0" w14:rev="0"/>
        </w14:lightRig>
      </w14:scene3d>
    </w:rPr>
  </w:style>
  <w:style w:type="numbering" w:customStyle="1" w:styleId="Bullet1IRD">
    <w:name w:val="Bullet 1 IRD"/>
    <w:rsid w:val="00EF1B2B"/>
    <w:pPr>
      <w:numPr>
        <w:numId w:val="9"/>
      </w:numPr>
    </w:pPr>
  </w:style>
  <w:style w:type="paragraph" w:customStyle="1" w:styleId="GrantGuidelinesHeading2">
    <w:name w:val="Grant Guidelines Heading 2"/>
    <w:basedOn w:val="Heading2"/>
    <w:link w:val="GrantGuidelinesHeading2Char"/>
    <w:autoRedefine/>
    <w:qFormat/>
    <w:rsid w:val="003F7099"/>
    <w:pPr>
      <w:suppressAutoHyphens/>
      <w:spacing w:before="240" w:after="120" w:line="280" w:lineRule="atLeast"/>
      <w:contextualSpacing/>
    </w:pPr>
    <w:rPr>
      <w:b/>
      <w:bCs/>
      <w:iCs/>
      <w:color w:val="44546A" w:themeColor="text2"/>
      <w:sz w:val="24"/>
      <w:szCs w:val="28"/>
    </w:rPr>
  </w:style>
  <w:style w:type="character" w:customStyle="1" w:styleId="GrantGuidelinesHeading2Char">
    <w:name w:val="Grant Guidelines Heading 2 Char"/>
    <w:basedOn w:val="DefaultParagraphFont"/>
    <w:link w:val="GrantGuidelinesHeading2"/>
    <w:rsid w:val="003F7099"/>
    <w:rPr>
      <w:rFonts w:asciiTheme="majorHAnsi" w:eastAsiaTheme="majorEastAsia" w:hAnsiTheme="majorHAnsi" w:cstheme="majorBidi"/>
      <w:b/>
      <w:bCs/>
      <w:iCs/>
      <w:color w:val="44546A" w:themeColor="text2"/>
      <w:sz w:val="24"/>
      <w:szCs w:val="28"/>
    </w:rPr>
  </w:style>
  <w:style w:type="character" w:customStyle="1" w:styleId="Heading2Char">
    <w:name w:val="Heading 2 Char"/>
    <w:aliases w:val="Body Headings Char"/>
    <w:basedOn w:val="DefaultParagraphFont"/>
    <w:link w:val="Heading2"/>
    <w:rsid w:val="003F709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7C4EA4"/>
    <w:rPr>
      <w:color w:val="605E5C"/>
      <w:shd w:val="clear" w:color="auto" w:fill="E1DFDD"/>
    </w:rPr>
  </w:style>
  <w:style w:type="paragraph" w:styleId="Header">
    <w:name w:val="header"/>
    <w:basedOn w:val="Normal"/>
    <w:link w:val="HeaderChar"/>
    <w:uiPriority w:val="99"/>
    <w:unhideWhenUsed/>
    <w:rsid w:val="00E5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EA1"/>
  </w:style>
  <w:style w:type="paragraph" w:styleId="Footer">
    <w:name w:val="footer"/>
    <w:basedOn w:val="Normal"/>
    <w:link w:val="FooterChar"/>
    <w:uiPriority w:val="99"/>
    <w:unhideWhenUsed/>
    <w:rsid w:val="00E5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EA1"/>
  </w:style>
  <w:style w:type="paragraph" w:customStyle="1" w:styleId="GrantGuidelinesDotPoints">
    <w:name w:val="Grant Guidelines Dot Points"/>
    <w:basedOn w:val="Normal"/>
    <w:link w:val="GrantGuidelinesDotPointsChar"/>
    <w:qFormat/>
    <w:rsid w:val="00085291"/>
    <w:pPr>
      <w:numPr>
        <w:numId w:val="16"/>
      </w:numPr>
      <w:spacing w:before="120" w:after="120" w:line="285" w:lineRule="atLeast"/>
    </w:pPr>
    <w:rPr>
      <w:rFonts w:ascii="Calibri" w:eastAsia="Times New Roman" w:hAnsi="Calibri" w:cs="Calibri"/>
      <w:bCs/>
    </w:rPr>
  </w:style>
  <w:style w:type="character" w:customStyle="1" w:styleId="GrantGuidelinesDotPointsChar">
    <w:name w:val="Grant Guidelines Dot Points Char"/>
    <w:basedOn w:val="DefaultParagraphFont"/>
    <w:link w:val="GrantGuidelinesDotPoints"/>
    <w:rsid w:val="00085291"/>
    <w:rPr>
      <w:rFonts w:ascii="Calibri" w:eastAsia="Times New Roman" w:hAnsi="Calibri" w:cs="Calibri"/>
      <w:bCs/>
    </w:rPr>
  </w:style>
  <w:style w:type="paragraph" w:customStyle="1" w:styleId="GrantGuidelinesList">
    <w:name w:val="Grant Guidelines List"/>
    <w:basedOn w:val="Normal"/>
    <w:link w:val="GrantGuidelinesListChar"/>
    <w:qFormat/>
    <w:rsid w:val="00AC41FC"/>
    <w:pPr>
      <w:numPr>
        <w:numId w:val="20"/>
      </w:numPr>
      <w:spacing w:before="120" w:after="120" w:line="285" w:lineRule="atLeast"/>
    </w:pPr>
    <w:rPr>
      <w:rFonts w:ascii="Calibri" w:eastAsia="Times New Roman" w:hAnsi="Calibri" w:cs="Arial"/>
      <w:bCs/>
    </w:rPr>
  </w:style>
  <w:style w:type="character" w:customStyle="1" w:styleId="GrantGuidelinesListChar">
    <w:name w:val="Grant Guidelines List Char"/>
    <w:basedOn w:val="DefaultParagraphFont"/>
    <w:link w:val="GrantGuidelinesList"/>
    <w:rsid w:val="00AC41FC"/>
    <w:rPr>
      <w:rFonts w:ascii="Calibri" w:eastAsia="Times New Roman" w:hAnsi="Calibri" w:cs="Arial"/>
      <w:bCs/>
    </w:rPr>
  </w:style>
  <w:style w:type="paragraph" w:customStyle="1" w:styleId="StyleHeading2IRD">
    <w:name w:val="Style Heading2 IRD"/>
    <w:basedOn w:val="Normal"/>
    <w:rsid w:val="002167E1"/>
    <w:pPr>
      <w:numPr>
        <w:ilvl w:val="1"/>
        <w:numId w:val="22"/>
      </w:numPr>
      <w:tabs>
        <w:tab w:val="left" w:pos="993"/>
        <w:tab w:val="num" w:pos="1440"/>
      </w:tabs>
      <w:spacing w:before="300" w:after="120" w:line="240" w:lineRule="auto"/>
      <w:outlineLvl w:val="0"/>
    </w:pPr>
    <w:rPr>
      <w:rFonts w:ascii="Times New Roman" w:eastAsia="Times New Roman" w:hAnsi="Times New Roman" w:cs="Times New Roman"/>
      <w:b/>
      <w:sz w:val="28"/>
      <w:szCs w:val="20"/>
    </w:rPr>
  </w:style>
  <w:style w:type="paragraph" w:customStyle="1" w:styleId="Paralevel1">
    <w:name w:val="Para level 1"/>
    <w:basedOn w:val="Normal"/>
    <w:rsid w:val="002167E1"/>
    <w:pPr>
      <w:numPr>
        <w:ilvl w:val="3"/>
        <w:numId w:val="22"/>
      </w:numPr>
      <w:tabs>
        <w:tab w:val="left" w:pos="0"/>
        <w:tab w:val="left" w:pos="993"/>
      </w:tabs>
      <w:spacing w:after="120" w:line="240" w:lineRule="auto"/>
    </w:pPr>
    <w:rPr>
      <w:rFonts w:ascii="Arial" w:eastAsia="Times New Roman" w:hAnsi="Arial" w:cs="Times New Roman"/>
      <w:sz w:val="24"/>
      <w:szCs w:val="24"/>
      <w:lang w:eastAsia="en-AU"/>
    </w:rPr>
  </w:style>
  <w:style w:type="paragraph" w:customStyle="1" w:styleId="GrantGuidelinesSchemeSectionClauseA11">
    <w:name w:val="Grant Guidelines Scheme Section Clause (A1.1)"/>
    <w:basedOn w:val="Paralevel1"/>
    <w:link w:val="GrantGuidelinesSchemeSectionClauseA11Char"/>
    <w:qFormat/>
    <w:rsid w:val="002167E1"/>
    <w:pPr>
      <w:numPr>
        <w:ilvl w:val="2"/>
      </w:numPr>
      <w:tabs>
        <w:tab w:val="clear" w:pos="0"/>
        <w:tab w:val="clear" w:pos="993"/>
      </w:tabs>
      <w:spacing w:before="240" w:line="285" w:lineRule="atLeast"/>
      <w:ind w:left="851" w:hanging="851"/>
    </w:pPr>
    <w:rPr>
      <w:rFonts w:ascii="Calibri" w:hAnsi="Calibri"/>
      <w:sz w:val="22"/>
    </w:rPr>
  </w:style>
  <w:style w:type="paragraph" w:customStyle="1" w:styleId="GrantGuidelinesSchemeHeading1PartA">
    <w:name w:val="Grant Guidelines Scheme Heading 1 (Part A)"/>
    <w:basedOn w:val="Normal"/>
    <w:qFormat/>
    <w:rsid w:val="002167E1"/>
    <w:pPr>
      <w:keepNext/>
      <w:keepLines/>
      <w:numPr>
        <w:numId w:val="22"/>
      </w:numPr>
      <w:suppressAutoHyphens/>
      <w:spacing w:before="360" w:after="120" w:line="460" w:lineRule="atLeast"/>
      <w:ind w:left="851" w:hanging="851"/>
      <w:contextualSpacing/>
      <w:outlineLvl w:val="0"/>
    </w:pPr>
    <w:rPr>
      <w:rFonts w:asciiTheme="majorHAnsi" w:eastAsiaTheme="majorEastAsia" w:hAnsiTheme="majorHAnsi" w:cstheme="majorBidi"/>
      <w:b/>
      <w:bCs/>
      <w:color w:val="44546A" w:themeColor="text2"/>
      <w:sz w:val="32"/>
      <w:szCs w:val="28"/>
    </w:rPr>
  </w:style>
  <w:style w:type="character" w:customStyle="1" w:styleId="GrantGuidelinesSchemeSectionClauseA11Char">
    <w:name w:val="Grant Guidelines Scheme Section Clause (A1.1) Char"/>
    <w:basedOn w:val="DefaultParagraphFont"/>
    <w:link w:val="GrantGuidelinesSchemeSectionClauseA11"/>
    <w:rsid w:val="002167E1"/>
    <w:rPr>
      <w:rFonts w:ascii="Calibri" w:eastAsia="Times New Roman" w:hAnsi="Calibri" w:cs="Times New Roman"/>
      <w:szCs w:val="24"/>
      <w:lang w:eastAsia="en-AU"/>
    </w:rPr>
  </w:style>
  <w:style w:type="paragraph" w:customStyle="1" w:styleId="FLAppB1">
    <w:name w:val="FL AppB.1"/>
    <w:basedOn w:val="Normal"/>
    <w:autoRedefine/>
    <w:rsid w:val="00F71398"/>
    <w:pPr>
      <w:numPr>
        <w:numId w:val="24"/>
      </w:numPr>
      <w:spacing w:before="240" w:after="240" w:line="240" w:lineRule="auto"/>
    </w:pPr>
    <w:rPr>
      <w:rFonts w:ascii="Arial" w:eastAsia="Times New Roman" w:hAnsi="Arial" w:cs="Times New Roman"/>
      <w:b/>
      <w:sz w:val="28"/>
      <w:szCs w:val="28"/>
    </w:rPr>
  </w:style>
  <w:style w:type="paragraph" w:customStyle="1" w:styleId="AppFRB">
    <w:name w:val="AppFRB"/>
    <w:basedOn w:val="FLAppB1"/>
    <w:rsid w:val="00F71398"/>
    <w:pPr>
      <w:numPr>
        <w:ilvl w:val="2"/>
      </w:numPr>
      <w:ind w:hanging="1080"/>
    </w:pPr>
    <w:rPr>
      <w:b w:val="0"/>
      <w:sz w:val="24"/>
      <w:szCs w:val="24"/>
    </w:rPr>
  </w:style>
  <w:style w:type="character" w:customStyle="1" w:styleId="Heading3Char">
    <w:name w:val="Heading 3 Char"/>
    <w:aliases w:val="Attachment - sub-tile Char"/>
    <w:basedOn w:val="DefaultParagraphFont"/>
    <w:link w:val="Heading3"/>
    <w:rsid w:val="007B4D76"/>
    <w:rPr>
      <w:rFonts w:eastAsia="Times New Roman" w:cstheme="minorHAnsi"/>
      <w:b/>
      <w:bCs/>
    </w:rPr>
  </w:style>
  <w:style w:type="paragraph" w:styleId="Title">
    <w:name w:val="Title"/>
    <w:basedOn w:val="Normal"/>
    <w:next w:val="Normal"/>
    <w:link w:val="TitleChar"/>
    <w:uiPriority w:val="10"/>
    <w:qFormat/>
    <w:rsid w:val="003401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184"/>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F56F1D"/>
    <w:rPr>
      <w:color w:val="2B579A"/>
      <w:shd w:val="clear" w:color="auto" w:fill="E1DFDD"/>
    </w:rPr>
  </w:style>
  <w:style w:type="character" w:customStyle="1" w:styleId="ListParagraphChar">
    <w:name w:val="List Paragraph Char"/>
    <w:basedOn w:val="DefaultParagraphFont"/>
    <w:link w:val="ListParagraph"/>
    <w:uiPriority w:val="34"/>
    <w:rsid w:val="00155F3A"/>
  </w:style>
  <w:style w:type="paragraph" w:customStyle="1" w:styleId="NumberSubheading">
    <w:name w:val="Number Sub heading"/>
    <w:basedOn w:val="ListParagraph"/>
    <w:link w:val="NumberSubheadingChar"/>
    <w:qFormat/>
    <w:rsid w:val="008E0784"/>
    <w:pPr>
      <w:numPr>
        <w:numId w:val="32"/>
      </w:numPr>
    </w:pPr>
    <w:rPr>
      <w:b/>
      <w:bCs/>
    </w:rPr>
  </w:style>
  <w:style w:type="character" w:customStyle="1" w:styleId="NumberSubheadingChar">
    <w:name w:val="Number Sub heading Char"/>
    <w:basedOn w:val="ListParagraphChar"/>
    <w:link w:val="NumberSubheading"/>
    <w:rsid w:val="008E0784"/>
    <w:rPr>
      <w:b/>
      <w:bCs/>
    </w:rPr>
  </w:style>
  <w:style w:type="paragraph" w:styleId="Revision">
    <w:name w:val="Revision"/>
    <w:hidden/>
    <w:uiPriority w:val="99"/>
    <w:semiHidden/>
    <w:rsid w:val="005C7F38"/>
    <w:pPr>
      <w:spacing w:after="0" w:line="240" w:lineRule="auto"/>
    </w:pPr>
  </w:style>
  <w:style w:type="character" w:customStyle="1" w:styleId="GrantGuidelinesHeadingGeneralSectionChar">
    <w:name w:val="Grant Guidelines Heading General Section Char"/>
    <w:basedOn w:val="DefaultParagraphFont"/>
    <w:link w:val="GrantGuidelinesHeadingGeneralSection"/>
    <w:rsid w:val="00FD7EC7"/>
    <w:rPr>
      <w:rFonts w:asciiTheme="majorHAnsi" w:eastAsiaTheme="majorEastAsia" w:hAnsiTheme="majorHAnsi" w:cstheme="majorBidi"/>
      <w:b/>
      <w:bCs/>
      <w:color w:val="44546A" w:themeColor="text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463">
      <w:bodyDiv w:val="1"/>
      <w:marLeft w:val="0"/>
      <w:marRight w:val="0"/>
      <w:marTop w:val="0"/>
      <w:marBottom w:val="0"/>
      <w:divBdr>
        <w:top w:val="none" w:sz="0" w:space="0" w:color="auto"/>
        <w:left w:val="none" w:sz="0" w:space="0" w:color="auto"/>
        <w:bottom w:val="none" w:sz="0" w:space="0" w:color="auto"/>
        <w:right w:val="none" w:sz="0" w:space="0" w:color="auto"/>
      </w:divBdr>
    </w:div>
    <w:div w:id="145555885">
      <w:bodyDiv w:val="1"/>
      <w:marLeft w:val="0"/>
      <w:marRight w:val="0"/>
      <w:marTop w:val="0"/>
      <w:marBottom w:val="0"/>
      <w:divBdr>
        <w:top w:val="none" w:sz="0" w:space="0" w:color="auto"/>
        <w:left w:val="none" w:sz="0" w:space="0" w:color="auto"/>
        <w:bottom w:val="none" w:sz="0" w:space="0" w:color="auto"/>
        <w:right w:val="none" w:sz="0" w:space="0" w:color="auto"/>
      </w:divBdr>
    </w:div>
    <w:div w:id="466052374">
      <w:bodyDiv w:val="1"/>
      <w:marLeft w:val="0"/>
      <w:marRight w:val="0"/>
      <w:marTop w:val="0"/>
      <w:marBottom w:val="0"/>
      <w:divBdr>
        <w:top w:val="none" w:sz="0" w:space="0" w:color="auto"/>
        <w:left w:val="none" w:sz="0" w:space="0" w:color="auto"/>
        <w:bottom w:val="none" w:sz="0" w:space="0" w:color="auto"/>
        <w:right w:val="none" w:sz="0" w:space="0" w:color="auto"/>
      </w:divBdr>
    </w:div>
    <w:div w:id="5050509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7">
          <w:marLeft w:val="0"/>
          <w:marRight w:val="0"/>
          <w:marTop w:val="0"/>
          <w:marBottom w:val="0"/>
          <w:divBdr>
            <w:top w:val="none" w:sz="0" w:space="0" w:color="auto"/>
            <w:left w:val="none" w:sz="0" w:space="0" w:color="auto"/>
            <w:bottom w:val="none" w:sz="0" w:space="0" w:color="auto"/>
            <w:right w:val="none" w:sz="0" w:space="0" w:color="auto"/>
          </w:divBdr>
        </w:div>
        <w:div w:id="824205399">
          <w:marLeft w:val="0"/>
          <w:marRight w:val="0"/>
          <w:marTop w:val="0"/>
          <w:marBottom w:val="0"/>
          <w:divBdr>
            <w:top w:val="none" w:sz="0" w:space="0" w:color="auto"/>
            <w:left w:val="none" w:sz="0" w:space="0" w:color="auto"/>
            <w:bottom w:val="none" w:sz="0" w:space="0" w:color="auto"/>
            <w:right w:val="none" w:sz="0" w:space="0" w:color="auto"/>
          </w:divBdr>
        </w:div>
        <w:div w:id="854424099">
          <w:marLeft w:val="0"/>
          <w:marRight w:val="0"/>
          <w:marTop w:val="0"/>
          <w:marBottom w:val="0"/>
          <w:divBdr>
            <w:top w:val="none" w:sz="0" w:space="0" w:color="auto"/>
            <w:left w:val="none" w:sz="0" w:space="0" w:color="auto"/>
            <w:bottom w:val="none" w:sz="0" w:space="0" w:color="auto"/>
            <w:right w:val="none" w:sz="0" w:space="0" w:color="auto"/>
          </w:divBdr>
        </w:div>
      </w:divsChild>
    </w:div>
    <w:div w:id="1072700104">
      <w:bodyDiv w:val="1"/>
      <w:marLeft w:val="0"/>
      <w:marRight w:val="0"/>
      <w:marTop w:val="0"/>
      <w:marBottom w:val="0"/>
      <w:divBdr>
        <w:top w:val="none" w:sz="0" w:space="0" w:color="auto"/>
        <w:left w:val="none" w:sz="0" w:space="0" w:color="auto"/>
        <w:bottom w:val="none" w:sz="0" w:space="0" w:color="auto"/>
        <w:right w:val="none" w:sz="0" w:space="0" w:color="auto"/>
      </w:divBdr>
      <w:divsChild>
        <w:div w:id="165753979">
          <w:marLeft w:val="0"/>
          <w:marRight w:val="0"/>
          <w:marTop w:val="0"/>
          <w:marBottom w:val="0"/>
          <w:divBdr>
            <w:top w:val="none" w:sz="0" w:space="0" w:color="auto"/>
            <w:left w:val="none" w:sz="0" w:space="0" w:color="auto"/>
            <w:bottom w:val="none" w:sz="0" w:space="0" w:color="auto"/>
            <w:right w:val="none" w:sz="0" w:space="0" w:color="auto"/>
          </w:divBdr>
        </w:div>
        <w:div w:id="1694988840">
          <w:marLeft w:val="0"/>
          <w:marRight w:val="0"/>
          <w:marTop w:val="0"/>
          <w:marBottom w:val="0"/>
          <w:divBdr>
            <w:top w:val="none" w:sz="0" w:space="0" w:color="auto"/>
            <w:left w:val="none" w:sz="0" w:space="0" w:color="auto"/>
            <w:bottom w:val="none" w:sz="0" w:space="0" w:color="auto"/>
            <w:right w:val="none" w:sz="0" w:space="0" w:color="auto"/>
          </w:divBdr>
          <w:divsChild>
            <w:div w:id="570164567">
              <w:marLeft w:val="0"/>
              <w:marRight w:val="0"/>
              <w:marTop w:val="0"/>
              <w:marBottom w:val="0"/>
              <w:divBdr>
                <w:top w:val="none" w:sz="0" w:space="0" w:color="auto"/>
                <w:left w:val="none" w:sz="0" w:space="0" w:color="auto"/>
                <w:bottom w:val="none" w:sz="0" w:space="0" w:color="auto"/>
                <w:right w:val="none" w:sz="0" w:space="0" w:color="auto"/>
              </w:divBdr>
            </w:div>
          </w:divsChild>
        </w:div>
        <w:div w:id="2083794045">
          <w:marLeft w:val="0"/>
          <w:marRight w:val="0"/>
          <w:marTop w:val="0"/>
          <w:marBottom w:val="0"/>
          <w:divBdr>
            <w:top w:val="none" w:sz="0" w:space="0" w:color="auto"/>
            <w:left w:val="none" w:sz="0" w:space="0" w:color="auto"/>
            <w:bottom w:val="none" w:sz="0" w:space="0" w:color="auto"/>
            <w:right w:val="none" w:sz="0" w:space="0" w:color="auto"/>
          </w:divBdr>
        </w:div>
      </w:divsChild>
    </w:div>
    <w:div w:id="19863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ov.au/policies-strategies/policy/codes-and-guidelin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rc.gov.au/letter-expectations-minister-a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15" ma:contentTypeDescription="Create a new document." ma:contentTypeScope="" ma:versionID="521486b29c89dbe0f114df00ef66b8e8">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61eb71c90fbc7aae8d4a3a0674100346" ns2:_="" ns3:_="">
    <xsd:import namespace="baa1c320-c67a-48df-a3eb-05c3b81cb7a2"/>
    <xsd:import namespace="16cd8759-af10-43af-87b3-f9b8cdbf0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baa1c320-c67a-48df-a3eb-05c3b81cb7a2" xsi:nil="true"/>
    <_Flow_SignoffStatus xmlns="baa1c320-c67a-48df-a3eb-05c3b81cb7a2" xsi:nil="true"/>
  </documentManagement>
</p:properties>
</file>

<file path=customXml/itemProps1.xml><?xml version="1.0" encoding="utf-8"?>
<ds:datastoreItem xmlns:ds="http://schemas.openxmlformats.org/officeDocument/2006/customXml" ds:itemID="{4B34B9AF-D192-4B7D-9CC3-38C22812F143}"/>
</file>

<file path=customXml/itemProps2.xml><?xml version="1.0" encoding="utf-8"?>
<ds:datastoreItem xmlns:ds="http://schemas.openxmlformats.org/officeDocument/2006/customXml" ds:itemID="{73150224-D48A-4E0A-84AF-8A58ADB041AF}"/>
</file>

<file path=customXml/itemProps3.xml><?xml version="1.0" encoding="utf-8"?>
<ds:datastoreItem xmlns:ds="http://schemas.openxmlformats.org/officeDocument/2006/customXml" ds:itemID="{8F86D14E-ADFC-4D45-A854-9831D1032BB6}"/>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Links>
    <vt:vector size="6" baseType="variant">
      <vt:variant>
        <vt:i4>2687024</vt:i4>
      </vt:variant>
      <vt:variant>
        <vt:i4>0</vt:i4>
      </vt:variant>
      <vt:variant>
        <vt:i4>0</vt:i4>
      </vt:variant>
      <vt:variant>
        <vt:i4>5</vt:i4>
      </vt:variant>
      <vt:variant>
        <vt:lpwstr>https://www.arc.gov.au/policies-strategies/policy/codes-and-guidelines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2022-03-28T04:56:00Z</dcterms:created>
  <dcterms:modified xsi:type="dcterms:W3CDTF">2022-03-28T04:57:00Z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ies>
</file>